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30"/>
          <w:szCs w:val="30"/>
          <w:lang w:val="en-US" w:eastAsia="zh-CN"/>
        </w:rPr>
      </w:pPr>
      <w:r>
        <w:rPr>
          <w:rFonts w:hint="eastAsia" w:ascii="仿宋" w:hAnsi="仿宋" w:eastAsia="仿宋" w:cs="仿宋"/>
          <w:sz w:val="30"/>
          <w:szCs w:val="30"/>
        </w:rPr>
        <w:t>理赔纸质资料收取规范-202</w:t>
      </w:r>
      <w:r>
        <w:rPr>
          <w:rFonts w:hint="eastAsia" w:ascii="仿宋" w:hAnsi="仿宋" w:eastAsia="仿宋" w:cs="仿宋"/>
          <w:sz w:val="30"/>
          <w:szCs w:val="30"/>
          <w:lang w:val="en-US" w:eastAsia="zh-CN"/>
        </w:rPr>
        <w:t>302</w:t>
      </w:r>
      <w:r>
        <w:rPr>
          <w:rFonts w:hint="eastAsia" w:ascii="仿宋" w:hAnsi="仿宋" w:eastAsia="仿宋" w:cs="仿宋"/>
          <w:sz w:val="30"/>
          <w:szCs w:val="30"/>
        </w:rPr>
        <w:t>0</w:t>
      </w:r>
      <w:r>
        <w:rPr>
          <w:rFonts w:hint="eastAsia" w:ascii="仿宋" w:hAnsi="仿宋" w:eastAsia="仿宋" w:cs="仿宋"/>
          <w:sz w:val="30"/>
          <w:szCs w:val="30"/>
          <w:lang w:val="en-US" w:eastAsia="zh-CN"/>
        </w:rPr>
        <w:t>1</w:t>
      </w:r>
    </w:p>
    <w:p>
      <w:pPr>
        <w:jc w:val="left"/>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工会职工医疗保障项目纸质资料收取规范分为本地就医资料收取规范和异地就医资料收取规范。</w:t>
      </w:r>
    </w:p>
    <w:p>
      <w:pPr>
        <w:keepNext w:val="0"/>
        <w:keepLines w:val="0"/>
        <w:pageBreakBefore w:val="0"/>
        <w:widowControl w:val="0"/>
        <w:numPr>
          <w:ilvl w:val="0"/>
          <w:numId w:val="1"/>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highlight w:val="yellow"/>
          <w:lang w:val="en-US" w:eastAsia="zh-CN"/>
        </w:rPr>
      </w:pPr>
      <w:r>
        <w:rPr>
          <w:rFonts w:hint="eastAsia" w:ascii="仿宋" w:hAnsi="仿宋" w:eastAsia="仿宋" w:cs="仿宋"/>
          <w:sz w:val="30"/>
          <w:szCs w:val="30"/>
          <w:highlight w:val="yellow"/>
          <w:lang w:val="en-US" w:eastAsia="zh-CN"/>
        </w:rPr>
        <w:t>本地就医</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1、必要收集资料包含6项：</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《洛阳市职工互助保障金领取申请表》；</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《身份证》正反面复印件；</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《社会保障卡》或《银行卡》卡号面复印件；</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住院或门诊发票；</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与发票信息对应的《诊断证明》；</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除解释部分列明医院外，其余医院住院的需提供《职工费用结算单》（注意不是职工费用结算清单）。</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2、以上（本地就医）资料基本要求：</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《洛阳市职工互助保障金领取申请表》：单位工会签字盖</w:t>
      </w:r>
      <w:r>
        <w:rPr>
          <w:rFonts w:hint="eastAsia" w:ascii="仿宋" w:hAnsi="仿宋" w:eastAsia="仿宋" w:cs="仿宋"/>
          <w:color w:val="FF0000"/>
          <w:sz w:val="30"/>
          <w:szCs w:val="30"/>
          <w:lang w:val="en-US" w:eastAsia="zh-CN"/>
        </w:rPr>
        <w:t>红章</w:t>
      </w:r>
      <w:r>
        <w:rPr>
          <w:rFonts w:hint="eastAsia" w:ascii="仿宋" w:hAnsi="仿宋" w:eastAsia="仿宋" w:cs="仿宋"/>
          <w:sz w:val="30"/>
          <w:szCs w:val="30"/>
          <w:lang w:val="en-US" w:eastAsia="zh-CN"/>
        </w:rPr>
        <w:t>，区县总工会签字盖</w:t>
      </w:r>
      <w:r>
        <w:rPr>
          <w:rFonts w:hint="eastAsia" w:ascii="仿宋" w:hAnsi="仿宋" w:eastAsia="仿宋" w:cs="仿宋"/>
          <w:color w:val="FF0000"/>
          <w:sz w:val="30"/>
          <w:szCs w:val="30"/>
          <w:lang w:val="en-US" w:eastAsia="zh-CN"/>
        </w:rPr>
        <w:t>红章</w:t>
      </w:r>
      <w:r>
        <w:rPr>
          <w:rFonts w:hint="eastAsia" w:ascii="仿宋" w:hAnsi="仿宋" w:eastAsia="仿宋" w:cs="仿宋"/>
          <w:sz w:val="30"/>
          <w:szCs w:val="30"/>
          <w:lang w:val="en-US" w:eastAsia="zh-CN"/>
        </w:rPr>
        <w:t>，日期必填；联系方式（11位手机号）、银行账号等必填（注：填写银行账号需与提供银行卡复印件账户一致）。</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《身份证》正反面复印件：就诊人本人居民身份证正反面复印件，身份证号码不清晰的需手写备注；身份证需在有效期内；</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《社会保障卡》或《银行卡》卡号面复印件：卡号复印不清楚的请在复印件空白处抄一遍卡号；此账户为收取赔款账户，需与申请表上一致，且账户需处于正常使用、非冻结状态（推荐优先使用常用银行账户）。</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425"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住院或门诊发票：发票就诊日期需与诊断证明就诊日期一致，且就诊日期需在保险期间内（20220701-20230630）；</w:t>
      </w:r>
    </w:p>
    <w:p>
      <w:pPr>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住院发票医保类型：城镇职工基本医保或国家医保。若类型为自费则需</w:t>
      </w:r>
      <w:bookmarkStart w:id="0" w:name="_GoBack"/>
      <w:bookmarkEnd w:id="0"/>
      <w:r>
        <w:rPr>
          <w:rFonts w:hint="eastAsia" w:ascii="仿宋" w:hAnsi="仿宋" w:eastAsia="仿宋" w:cs="仿宋"/>
          <w:sz w:val="30"/>
          <w:szCs w:val="30"/>
          <w:lang w:val="en-US" w:eastAsia="zh-CN"/>
        </w:rPr>
        <w:t>到医保中心（综合行政服务大厅）进行报销后并提供《职工费用结算单》。</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drawing>
          <wp:inline distT="0" distB="0" distL="114300" distR="114300">
            <wp:extent cx="5266690" cy="3719830"/>
            <wp:effectExtent l="0" t="0" r="10160" b="13970"/>
            <wp:docPr id="1" name="图片 1" descr="167635849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76358491363"/>
                    <pic:cNvPicPr>
                      <a:picLocks noChangeAspect="1"/>
                    </pic:cNvPicPr>
                  </pic:nvPicPr>
                  <pic:blipFill>
                    <a:blip r:embed="rId4"/>
                    <a:stretch>
                      <a:fillRect/>
                    </a:stretch>
                  </pic:blipFill>
                  <pic:spPr>
                    <a:xfrm>
                      <a:off x="0" y="0"/>
                      <a:ext cx="5266690" cy="371983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（发票核算依据）</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rPr>
      </w:pPr>
      <w:r>
        <w:rPr>
          <w:rFonts w:hint="eastAsia" w:ascii="仿宋" w:hAnsi="仿宋" w:eastAsia="仿宋" w:cs="仿宋"/>
          <w:sz w:val="30"/>
          <w:szCs w:val="30"/>
        </w:rPr>
        <w:drawing>
          <wp:inline distT="0" distB="0" distL="114300" distR="114300">
            <wp:extent cx="5269865" cy="3326765"/>
            <wp:effectExtent l="0" t="0" r="698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269865" cy="332676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（职工费用结算单）</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drawing>
          <wp:inline distT="0" distB="0" distL="114300" distR="114300">
            <wp:extent cx="5268595" cy="3636010"/>
            <wp:effectExtent l="0" t="0" r="8255" b="2540"/>
            <wp:docPr id="11" name="图片 11" descr="167635598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76355982289"/>
                    <pic:cNvPicPr>
                      <a:picLocks noChangeAspect="1"/>
                    </pic:cNvPicPr>
                  </pic:nvPicPr>
                  <pic:blipFill>
                    <a:blip r:embed="rId6"/>
                    <a:stretch>
                      <a:fillRect/>
                    </a:stretch>
                  </pic:blipFill>
                  <pic:spPr>
                    <a:xfrm>
                      <a:off x="0" y="0"/>
                      <a:ext cx="5268595" cy="363601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（医疗费用结算单均可）</w:t>
      </w:r>
    </w:p>
    <w:p>
      <w:pPr>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门诊发票申请领取保障金的需注意确诊疾病需为门诊重特大疾病病种之一，且门诊药品需为门诊重特大疾病规定药品品种。详见[市总工会2022-34号文附件1]；</w:t>
      </w:r>
      <w:r>
        <w:rPr>
          <w:rFonts w:hint="eastAsia" w:ascii="仿宋" w:hAnsi="仿宋" w:eastAsia="仿宋" w:cs="仿宋"/>
          <w:sz w:val="30"/>
          <w:szCs w:val="30"/>
          <w:highlight w:val="yellow"/>
          <w:lang w:val="en-US" w:eastAsia="zh-CN"/>
        </w:rPr>
        <w:t>或</w:t>
      </w:r>
      <w:r>
        <w:rPr>
          <w:rFonts w:hint="eastAsia" w:ascii="仿宋" w:hAnsi="仿宋" w:eastAsia="仿宋" w:cs="仿宋"/>
          <w:sz w:val="30"/>
          <w:szCs w:val="30"/>
          <w:lang w:val="en-US" w:eastAsia="zh-CN"/>
        </w:rPr>
        <w:t>有《城镇职工医疗保险特殊基本门诊</w:t>
      </w:r>
      <w:r>
        <w:rPr>
          <w:rFonts w:hint="eastAsia" w:ascii="仿宋" w:hAnsi="仿宋" w:eastAsia="仿宋" w:cs="仿宋"/>
          <w:sz w:val="30"/>
          <w:szCs w:val="30"/>
          <w:highlight w:val="yellow"/>
          <w:lang w:val="en-US" w:eastAsia="zh-CN"/>
        </w:rPr>
        <w:t>就诊卡</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lang w:val="en-US" w:eastAsia="zh-CN"/>
        </w:rPr>
        <w:t>，可符合门诊补助条件。</w:t>
      </w:r>
    </w:p>
    <w:p>
      <w:pPr>
        <w:jc w:val="cente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drawing>
          <wp:inline distT="0" distB="0" distL="114300" distR="114300">
            <wp:extent cx="5267325" cy="4982210"/>
            <wp:effectExtent l="0" t="0" r="9525" b="8890"/>
            <wp:docPr id="12" name="图片 12" descr="167635639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76356393890"/>
                    <pic:cNvPicPr>
                      <a:picLocks noChangeAspect="1"/>
                    </pic:cNvPicPr>
                  </pic:nvPicPr>
                  <pic:blipFill>
                    <a:blip r:embed="rId7"/>
                    <a:stretch>
                      <a:fillRect/>
                    </a:stretch>
                  </pic:blipFill>
                  <pic:spPr>
                    <a:xfrm>
                      <a:off x="0" y="0"/>
                      <a:ext cx="5267325" cy="4982210"/>
                    </a:xfrm>
                    <a:prstGeom prst="rect">
                      <a:avLst/>
                    </a:prstGeom>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425"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与发票信息对应的诊断证明（需加盖红章）：诊断证明需加盖有医院住院部或主治医师的红章，</w:t>
      </w:r>
      <w:r>
        <w:rPr>
          <w:rFonts w:hint="eastAsia" w:ascii="仿宋" w:hAnsi="仿宋" w:eastAsia="仿宋" w:cs="仿宋"/>
          <w:sz w:val="30"/>
          <w:szCs w:val="30"/>
          <w:highlight w:val="yellow"/>
          <w:lang w:val="en-US" w:eastAsia="zh-CN"/>
        </w:rPr>
        <w:t>复印的黑白章无效</w:t>
      </w:r>
      <w:r>
        <w:rPr>
          <w:rFonts w:hint="eastAsia" w:ascii="仿宋" w:hAnsi="仿宋" w:eastAsia="仿宋" w:cs="仿宋"/>
          <w:sz w:val="30"/>
          <w:szCs w:val="30"/>
          <w:lang w:val="en-US" w:eastAsia="zh-CN"/>
        </w:rPr>
        <w:t>。诊断证明列明就诊日期应在住院/门诊发票上的住院/就诊时间范围内。</w:t>
      </w:r>
    </w:p>
    <w:p>
      <w:pPr>
        <w:keepNext w:val="0"/>
        <w:keepLines w:val="0"/>
        <w:pageBreakBefore w:val="0"/>
        <w:widowControl w:val="0"/>
        <w:numPr>
          <w:ilvl w:val="0"/>
          <w:numId w:val="0"/>
        </w:numPr>
        <w:kinsoku/>
        <w:wordWrap/>
        <w:overflowPunct/>
        <w:topLinePunct w:val="0"/>
        <w:autoSpaceDE/>
        <w:autoSpaceDN/>
        <w:bidi w:val="0"/>
        <w:adjustRightInd/>
        <w:snapToGrid/>
        <w:ind w:leftChars="200"/>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drawing>
          <wp:inline distT="0" distB="0" distL="114300" distR="114300">
            <wp:extent cx="5271135" cy="7310755"/>
            <wp:effectExtent l="0" t="0" r="5715" b="4445"/>
            <wp:docPr id="13" name="图片 13" descr="167635671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76356712136"/>
                    <pic:cNvPicPr>
                      <a:picLocks noChangeAspect="1"/>
                    </pic:cNvPicPr>
                  </pic:nvPicPr>
                  <pic:blipFill>
                    <a:blip r:embed="rId8"/>
                    <a:stretch>
                      <a:fillRect/>
                    </a:stretch>
                  </pic:blipFill>
                  <pic:spPr>
                    <a:xfrm>
                      <a:off x="0" y="0"/>
                      <a:ext cx="5271135" cy="7310755"/>
                    </a:xfrm>
                    <a:prstGeom prst="rect">
                      <a:avLst/>
                    </a:prstGeom>
                  </pic:spPr>
                </pic:pic>
              </a:graphicData>
            </a:graphic>
          </wp:inline>
        </w:drawing>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《职工费用结算单》：因收取索赔发票中，大部分医院发票金额分类不准确，导致无法核算补助金额，现增加第6项必要资料，即《职工费用结算单》。</w:t>
      </w:r>
    </w:p>
    <w:p>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drawing>
          <wp:inline distT="0" distB="0" distL="114300" distR="114300">
            <wp:extent cx="5269865" cy="3326765"/>
            <wp:effectExtent l="0" t="0" r="6985" b="698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269865" cy="332676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目前可以确定</w:t>
      </w:r>
      <w:r>
        <w:rPr>
          <w:rFonts w:hint="eastAsia" w:ascii="仿宋" w:hAnsi="仿宋" w:eastAsia="仿宋" w:cs="仿宋"/>
          <w:sz w:val="30"/>
          <w:szCs w:val="30"/>
          <w:highlight w:val="yellow"/>
          <w:lang w:val="en-US" w:eastAsia="zh-CN"/>
        </w:rPr>
        <w:t>不用</w:t>
      </w:r>
      <w:r>
        <w:rPr>
          <w:rFonts w:hint="eastAsia" w:ascii="仿宋" w:hAnsi="仿宋" w:eastAsia="仿宋" w:cs="仿宋"/>
          <w:sz w:val="30"/>
          <w:szCs w:val="30"/>
          <w:lang w:val="en-US" w:eastAsia="zh-CN"/>
        </w:rPr>
        <w:t>开具《职工费用结算单》的医院有：</w:t>
      </w:r>
    </w:p>
    <w:p>
      <w:pPr>
        <w:keepNext w:val="0"/>
        <w:keepLines w:val="0"/>
        <w:pageBreakBefore w:val="0"/>
        <w:widowControl w:val="0"/>
        <w:numPr>
          <w:ilvl w:val="0"/>
          <w:numId w:val="5"/>
        </w:numPr>
        <w:kinsoku/>
        <w:wordWrap/>
        <w:overflowPunct/>
        <w:topLinePunct w:val="0"/>
        <w:autoSpaceDE/>
        <w:autoSpaceDN/>
        <w:bidi w:val="0"/>
        <w:adjustRightInd/>
        <w:snapToGrid/>
        <w:ind w:left="420" w:leftChars="200"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河南科技大学第一附属医院；</w:t>
      </w:r>
    </w:p>
    <w:p>
      <w:pPr>
        <w:keepNext w:val="0"/>
        <w:keepLines w:val="0"/>
        <w:pageBreakBefore w:val="0"/>
        <w:widowControl w:val="0"/>
        <w:numPr>
          <w:ilvl w:val="0"/>
          <w:numId w:val="5"/>
        </w:numPr>
        <w:kinsoku/>
        <w:wordWrap/>
        <w:overflowPunct/>
        <w:topLinePunct w:val="0"/>
        <w:autoSpaceDE/>
        <w:autoSpaceDN/>
        <w:bidi w:val="0"/>
        <w:adjustRightInd/>
        <w:snapToGrid/>
        <w:ind w:left="420" w:leftChars="200"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河南科技大学第二附属医院；</w:t>
      </w:r>
    </w:p>
    <w:p>
      <w:pPr>
        <w:keepNext w:val="0"/>
        <w:keepLines w:val="0"/>
        <w:pageBreakBefore w:val="0"/>
        <w:widowControl w:val="0"/>
        <w:numPr>
          <w:ilvl w:val="0"/>
          <w:numId w:val="5"/>
        </w:numPr>
        <w:kinsoku/>
        <w:wordWrap/>
        <w:overflowPunct/>
        <w:topLinePunct w:val="0"/>
        <w:autoSpaceDE/>
        <w:autoSpaceDN/>
        <w:bidi w:val="0"/>
        <w:adjustRightInd/>
        <w:snapToGrid/>
        <w:ind w:left="420" w:leftChars="200"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洛阳市东方人民医院（河南科技大学第三附属医院）；</w:t>
      </w:r>
    </w:p>
    <w:p>
      <w:pPr>
        <w:keepNext w:val="0"/>
        <w:keepLines w:val="0"/>
        <w:pageBreakBefore w:val="0"/>
        <w:widowControl w:val="0"/>
        <w:numPr>
          <w:ilvl w:val="0"/>
          <w:numId w:val="5"/>
        </w:numPr>
        <w:kinsoku/>
        <w:wordWrap/>
        <w:overflowPunct/>
        <w:topLinePunct w:val="0"/>
        <w:autoSpaceDE/>
        <w:autoSpaceDN/>
        <w:bidi w:val="0"/>
        <w:adjustRightInd/>
        <w:snapToGrid/>
        <w:ind w:left="420" w:leftChars="200"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洛阳市中医院；</w:t>
      </w:r>
    </w:p>
    <w:p>
      <w:pPr>
        <w:keepNext w:val="0"/>
        <w:keepLines w:val="0"/>
        <w:pageBreakBefore w:val="0"/>
        <w:widowControl w:val="0"/>
        <w:numPr>
          <w:ilvl w:val="0"/>
          <w:numId w:val="5"/>
        </w:numPr>
        <w:kinsoku/>
        <w:wordWrap/>
        <w:overflowPunct/>
        <w:topLinePunct w:val="0"/>
        <w:autoSpaceDE/>
        <w:autoSpaceDN/>
        <w:bidi w:val="0"/>
        <w:adjustRightInd/>
        <w:snapToGrid/>
        <w:ind w:left="420" w:leftChars="200"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洛阳市中心医院（郑州大学附属医院）；</w:t>
      </w:r>
    </w:p>
    <w:p>
      <w:pPr>
        <w:keepNext w:val="0"/>
        <w:keepLines w:val="0"/>
        <w:pageBreakBefore w:val="0"/>
        <w:widowControl w:val="0"/>
        <w:numPr>
          <w:ilvl w:val="0"/>
          <w:numId w:val="5"/>
        </w:numPr>
        <w:kinsoku/>
        <w:wordWrap/>
        <w:overflowPunct/>
        <w:topLinePunct w:val="0"/>
        <w:autoSpaceDE/>
        <w:autoSpaceDN/>
        <w:bidi w:val="0"/>
        <w:adjustRightInd/>
        <w:snapToGrid/>
        <w:ind w:left="420" w:leftChars="200"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河南省洛阳正骨医院（河南省骨科医院）；</w:t>
      </w:r>
    </w:p>
    <w:p>
      <w:pPr>
        <w:keepNext w:val="0"/>
        <w:keepLines w:val="0"/>
        <w:pageBreakBefore w:val="0"/>
        <w:widowControl w:val="0"/>
        <w:numPr>
          <w:ilvl w:val="0"/>
          <w:numId w:val="5"/>
        </w:numPr>
        <w:kinsoku/>
        <w:wordWrap/>
        <w:overflowPunct/>
        <w:topLinePunct w:val="0"/>
        <w:autoSpaceDE/>
        <w:autoSpaceDN/>
        <w:bidi w:val="0"/>
        <w:adjustRightInd/>
        <w:snapToGrid/>
        <w:ind w:left="420" w:leftChars="200"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洛阳市第一人民医院；</w:t>
      </w:r>
    </w:p>
    <w:p>
      <w:pPr>
        <w:keepNext w:val="0"/>
        <w:keepLines w:val="0"/>
        <w:pageBreakBefore w:val="0"/>
        <w:widowControl w:val="0"/>
        <w:numPr>
          <w:ilvl w:val="0"/>
          <w:numId w:val="5"/>
        </w:numPr>
        <w:kinsoku/>
        <w:wordWrap/>
        <w:overflowPunct/>
        <w:topLinePunct w:val="0"/>
        <w:autoSpaceDE/>
        <w:autoSpaceDN/>
        <w:bidi w:val="0"/>
        <w:adjustRightInd/>
        <w:snapToGrid/>
        <w:ind w:left="420" w:leftChars="200"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洛阳市第三人民医院；</w:t>
      </w:r>
    </w:p>
    <w:p>
      <w:pPr>
        <w:keepNext w:val="0"/>
        <w:keepLines w:val="0"/>
        <w:pageBreakBefore w:val="0"/>
        <w:widowControl w:val="0"/>
        <w:numPr>
          <w:ilvl w:val="0"/>
          <w:numId w:val="5"/>
        </w:numPr>
        <w:kinsoku/>
        <w:wordWrap/>
        <w:overflowPunct/>
        <w:topLinePunct w:val="0"/>
        <w:autoSpaceDE/>
        <w:autoSpaceDN/>
        <w:bidi w:val="0"/>
        <w:adjustRightInd/>
        <w:snapToGrid/>
        <w:ind w:left="420" w:leftChars="200"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洛阳市妇幼保健院；</w:t>
      </w:r>
    </w:p>
    <w:p>
      <w:pPr>
        <w:keepNext w:val="0"/>
        <w:keepLines w:val="0"/>
        <w:pageBreakBefore w:val="0"/>
        <w:widowControl w:val="0"/>
        <w:numPr>
          <w:ilvl w:val="0"/>
          <w:numId w:val="5"/>
        </w:numPr>
        <w:kinsoku/>
        <w:wordWrap/>
        <w:overflowPunct/>
        <w:topLinePunct w:val="0"/>
        <w:autoSpaceDE/>
        <w:autoSpaceDN/>
        <w:bidi w:val="0"/>
        <w:adjustRightInd/>
        <w:snapToGrid/>
        <w:ind w:left="420" w:leftChars="200" w:firstLine="0" w:firstLineChars="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洛阳新里程医院。</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highlight w:val="none"/>
          <w:lang w:val="en-US" w:eastAsia="zh-CN"/>
        </w:rPr>
        <w:t>二、</w:t>
      </w:r>
      <w:r>
        <w:rPr>
          <w:rFonts w:hint="eastAsia" w:ascii="仿宋" w:hAnsi="仿宋" w:eastAsia="仿宋" w:cs="仿宋"/>
          <w:sz w:val="30"/>
          <w:szCs w:val="30"/>
          <w:highlight w:val="yellow"/>
          <w:lang w:val="en-US" w:eastAsia="zh-CN"/>
        </w:rPr>
        <w:t>异地就医</w:t>
      </w:r>
      <w:r>
        <w:rPr>
          <w:rFonts w:hint="eastAsia" w:ascii="仿宋" w:hAnsi="仿宋" w:eastAsia="仿宋" w:cs="仿宋"/>
          <w:sz w:val="30"/>
          <w:szCs w:val="30"/>
          <w:lang w:val="en-US" w:eastAsia="zh-CN"/>
        </w:rPr>
        <w:t>必要收集资料：</w:t>
      </w:r>
    </w:p>
    <w:p>
      <w:pPr>
        <w:keepNext w:val="0"/>
        <w:keepLines w:val="0"/>
        <w:pageBreakBefore w:val="0"/>
        <w:widowControl w:val="0"/>
        <w:numPr>
          <w:ilvl w:val="0"/>
          <w:numId w:val="6"/>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与本地就医前六项一致；</w:t>
      </w:r>
    </w:p>
    <w:p>
      <w:pPr>
        <w:keepNext w:val="0"/>
        <w:keepLines w:val="0"/>
        <w:pageBreakBefore w:val="0"/>
        <w:widowControl w:val="0"/>
        <w:numPr>
          <w:ilvl w:val="0"/>
          <w:numId w:val="6"/>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异地就医需提供医疗收费明细</w:t>
      </w:r>
      <w:r>
        <w:rPr>
          <w:rFonts w:hint="eastAsia" w:ascii="仿宋" w:hAnsi="仿宋" w:eastAsia="仿宋" w:cs="仿宋"/>
          <w:sz w:val="30"/>
          <w:szCs w:val="30"/>
          <w:highlight w:val="yellow"/>
          <w:lang w:val="en-US" w:eastAsia="zh-CN"/>
        </w:rPr>
        <w:t>或</w:t>
      </w:r>
      <w:r>
        <w:rPr>
          <w:rFonts w:hint="eastAsia" w:ascii="仿宋" w:hAnsi="仿宋" w:eastAsia="仿宋" w:cs="仿宋"/>
          <w:sz w:val="30"/>
          <w:szCs w:val="30"/>
          <w:lang w:val="en-US" w:eastAsia="zh-CN"/>
        </w:rPr>
        <w:t>费用</w:t>
      </w:r>
      <w:r>
        <w:rPr>
          <w:rFonts w:hint="eastAsia" w:ascii="仿宋" w:hAnsi="仿宋" w:eastAsia="仿宋" w:cs="仿宋"/>
          <w:sz w:val="30"/>
          <w:szCs w:val="30"/>
          <w:highlight w:val="yellow"/>
          <w:lang w:val="en-US" w:eastAsia="zh-CN"/>
        </w:rPr>
        <w:t>清</w:t>
      </w:r>
      <w:r>
        <w:rPr>
          <w:rFonts w:hint="eastAsia" w:ascii="仿宋" w:hAnsi="仿宋" w:eastAsia="仿宋" w:cs="仿宋"/>
          <w:sz w:val="30"/>
          <w:szCs w:val="30"/>
          <w:lang w:val="en-US" w:eastAsia="zh-CN"/>
        </w:rPr>
        <w:t>单；</w:t>
      </w:r>
    </w:p>
    <w:p>
      <w:pPr>
        <w:keepNext w:val="0"/>
        <w:keepLines w:val="0"/>
        <w:pageBreakBefore w:val="0"/>
        <w:widowControl w:val="0"/>
        <w:numPr>
          <w:ilvl w:val="0"/>
          <w:numId w:val="6"/>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异地就医需提供转诊单。</w:t>
      </w:r>
    </w:p>
    <w:p>
      <w:pPr>
        <w:keepNext w:val="0"/>
        <w:keepLines w:val="0"/>
        <w:pageBreakBefore w:val="0"/>
        <w:widowControl w:val="0"/>
        <w:numPr>
          <w:ilvl w:val="0"/>
          <w:numId w:val="7"/>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有转诊单异地就医的，按本地就医正常比例补助保障金；</w:t>
      </w:r>
    </w:p>
    <w:p>
      <w:pPr>
        <w:keepNext w:val="0"/>
        <w:keepLines w:val="0"/>
        <w:pageBreakBefore w:val="0"/>
        <w:widowControl w:val="0"/>
        <w:numPr>
          <w:ilvl w:val="0"/>
          <w:numId w:val="7"/>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无转诊单异地就医处理的，即按正常补助金额的70%补助。</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30"/>
          <w:szCs w:val="30"/>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drawing>
          <wp:inline distT="0" distB="0" distL="114300" distR="114300">
            <wp:extent cx="5058410" cy="5694045"/>
            <wp:effectExtent l="0" t="0" r="8890" b="1905"/>
            <wp:docPr id="4" name="图片 4" descr="167635896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76358961021"/>
                    <pic:cNvPicPr>
                      <a:picLocks noChangeAspect="1"/>
                    </pic:cNvPicPr>
                  </pic:nvPicPr>
                  <pic:blipFill>
                    <a:blip r:embed="rId9"/>
                    <a:stretch>
                      <a:fillRect/>
                    </a:stretch>
                  </pic:blipFill>
                  <pic:spPr>
                    <a:xfrm>
                      <a:off x="0" y="0"/>
                      <a:ext cx="5058410" cy="569404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drawing>
          <wp:inline distT="0" distB="0" distL="114300" distR="114300">
            <wp:extent cx="5268595" cy="2960370"/>
            <wp:effectExtent l="0" t="0" r="8255" b="11430"/>
            <wp:docPr id="15" name="图片 15" descr="167635740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676357401921"/>
                    <pic:cNvPicPr>
                      <a:picLocks noChangeAspect="1"/>
                    </pic:cNvPicPr>
                  </pic:nvPicPr>
                  <pic:blipFill>
                    <a:blip r:embed="rId10"/>
                    <a:stretch>
                      <a:fillRect/>
                    </a:stretch>
                  </pic:blipFill>
                  <pic:spPr>
                    <a:xfrm>
                      <a:off x="0" y="0"/>
                      <a:ext cx="5268595" cy="296037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drawing>
          <wp:inline distT="0" distB="0" distL="114300" distR="114300">
            <wp:extent cx="5267325" cy="2534920"/>
            <wp:effectExtent l="0" t="0" r="9525" b="17780"/>
            <wp:docPr id="16" name="图片 16" descr="1676357640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76357640983"/>
                    <pic:cNvPicPr>
                      <a:picLocks noChangeAspect="1"/>
                    </pic:cNvPicPr>
                  </pic:nvPicPr>
                  <pic:blipFill>
                    <a:blip r:embed="rId11"/>
                    <a:stretch>
                      <a:fillRect/>
                    </a:stretch>
                  </pic:blipFill>
                  <pic:spPr>
                    <a:xfrm>
                      <a:off x="0" y="0"/>
                      <a:ext cx="5267325" cy="253492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60F423"/>
    <w:multiLevelType w:val="singleLevel"/>
    <w:tmpl w:val="9F60F423"/>
    <w:lvl w:ilvl="0" w:tentative="0">
      <w:start w:val="1"/>
      <w:numFmt w:val="decimal"/>
      <w:lvlText w:val="(%1)"/>
      <w:lvlJc w:val="left"/>
      <w:pPr>
        <w:ind w:left="425" w:hanging="425"/>
      </w:pPr>
      <w:rPr>
        <w:rFonts w:hint="default"/>
      </w:rPr>
    </w:lvl>
  </w:abstractNum>
  <w:abstractNum w:abstractNumId="1">
    <w:nsid w:val="CBE77F87"/>
    <w:multiLevelType w:val="singleLevel"/>
    <w:tmpl w:val="CBE77F87"/>
    <w:lvl w:ilvl="0" w:tentative="0">
      <w:start w:val="1"/>
      <w:numFmt w:val="decimalEnclosedCircleChinese"/>
      <w:suff w:val="nothing"/>
      <w:lvlText w:val="%1　"/>
      <w:lvlJc w:val="left"/>
      <w:pPr>
        <w:ind w:left="0" w:firstLine="400"/>
      </w:pPr>
      <w:rPr>
        <w:rFonts w:hint="eastAsia"/>
      </w:rPr>
    </w:lvl>
  </w:abstractNum>
  <w:abstractNum w:abstractNumId="2">
    <w:nsid w:val="E4F8A1D8"/>
    <w:multiLevelType w:val="singleLevel"/>
    <w:tmpl w:val="E4F8A1D8"/>
    <w:lvl w:ilvl="0" w:tentative="0">
      <w:start w:val="1"/>
      <w:numFmt w:val="decimal"/>
      <w:lvlText w:val="(%1)"/>
      <w:lvlJc w:val="left"/>
      <w:pPr>
        <w:ind w:left="425" w:hanging="425"/>
      </w:pPr>
      <w:rPr>
        <w:rFonts w:hint="default"/>
      </w:rPr>
    </w:lvl>
  </w:abstractNum>
  <w:abstractNum w:abstractNumId="3">
    <w:nsid w:val="071D0220"/>
    <w:multiLevelType w:val="singleLevel"/>
    <w:tmpl w:val="071D0220"/>
    <w:lvl w:ilvl="0" w:tentative="0">
      <w:start w:val="1"/>
      <w:numFmt w:val="chineseCounting"/>
      <w:suff w:val="nothing"/>
      <w:lvlText w:val="%1、"/>
      <w:lvlJc w:val="left"/>
      <w:rPr>
        <w:rFonts w:hint="eastAsia"/>
      </w:rPr>
    </w:lvl>
  </w:abstractNum>
  <w:abstractNum w:abstractNumId="4">
    <w:nsid w:val="60630DA8"/>
    <w:multiLevelType w:val="singleLevel"/>
    <w:tmpl w:val="60630DA8"/>
    <w:lvl w:ilvl="0" w:tentative="0">
      <w:start w:val="1"/>
      <w:numFmt w:val="decimal"/>
      <w:lvlText w:val="%1."/>
      <w:lvlJc w:val="left"/>
      <w:pPr>
        <w:tabs>
          <w:tab w:val="left" w:pos="312"/>
        </w:tabs>
      </w:pPr>
    </w:lvl>
  </w:abstractNum>
  <w:abstractNum w:abstractNumId="5">
    <w:nsid w:val="6FB550F1"/>
    <w:multiLevelType w:val="singleLevel"/>
    <w:tmpl w:val="6FB550F1"/>
    <w:lvl w:ilvl="0" w:tentative="0">
      <w:start w:val="1"/>
      <w:numFmt w:val="decimal"/>
      <w:lvlText w:val="(%1)"/>
      <w:lvlJc w:val="left"/>
      <w:pPr>
        <w:ind w:left="425" w:hanging="425"/>
      </w:pPr>
      <w:rPr>
        <w:rFonts w:hint="default"/>
      </w:rPr>
    </w:lvl>
  </w:abstractNum>
  <w:abstractNum w:abstractNumId="6">
    <w:nsid w:val="763C0479"/>
    <w:multiLevelType w:val="singleLevel"/>
    <w:tmpl w:val="763C0479"/>
    <w:lvl w:ilvl="0" w:tentative="0">
      <w:start w:val="1"/>
      <w:numFmt w:val="decimal"/>
      <w:lvlText w:val="(%1)"/>
      <w:lvlJc w:val="left"/>
      <w:pPr>
        <w:tabs>
          <w:tab w:val="left" w:pos="312"/>
        </w:tabs>
      </w:pPr>
    </w:lvl>
  </w:abstractNum>
  <w:num w:numId="1">
    <w:abstractNumId w:val="3"/>
  </w:num>
  <w:num w:numId="2">
    <w:abstractNumId w:val="2"/>
  </w:num>
  <w:num w:numId="3">
    <w:abstractNumId w:val="0"/>
  </w:num>
  <w:num w:numId="4">
    <w:abstractNumId w:val="1"/>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E52854"/>
    <w:rsid w:val="05F956DA"/>
    <w:rsid w:val="0B721533"/>
    <w:rsid w:val="17E13F3C"/>
    <w:rsid w:val="197C77CA"/>
    <w:rsid w:val="1F4C73DC"/>
    <w:rsid w:val="258D1149"/>
    <w:rsid w:val="26755CAF"/>
    <w:rsid w:val="34B92AD4"/>
    <w:rsid w:val="34E52854"/>
    <w:rsid w:val="38E763A6"/>
    <w:rsid w:val="39FE4E2A"/>
    <w:rsid w:val="3BFE407D"/>
    <w:rsid w:val="3D880301"/>
    <w:rsid w:val="3F676161"/>
    <w:rsid w:val="43BF323F"/>
    <w:rsid w:val="468115F1"/>
    <w:rsid w:val="46A9130B"/>
    <w:rsid w:val="46F12698"/>
    <w:rsid w:val="482929FC"/>
    <w:rsid w:val="4EA2559F"/>
    <w:rsid w:val="503A5B63"/>
    <w:rsid w:val="50A25726"/>
    <w:rsid w:val="5A6E2A49"/>
    <w:rsid w:val="655F7FF8"/>
    <w:rsid w:val="68424C4D"/>
    <w:rsid w:val="68BB3463"/>
    <w:rsid w:val="6C8B4486"/>
    <w:rsid w:val="75DE00BA"/>
    <w:rsid w:val="778D5450"/>
    <w:rsid w:val="77E463E8"/>
    <w:rsid w:val="78C71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2023-02-01T09:37:00Z</dcterms:created>
  <dc:creator>Administrator</dc:creator>
  <cp:lastModifiedBy>Administrator</cp:lastModifiedBy>
  <dcterms:modified xsi:type="dcterms:W3CDTF">2023-02-14T07:39:19Z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15581F1F0E304C4CBC29A82B0A3C72F2</vt:lpwstr>
  </property>
</Properties>
</file>