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B766C3">
      <w:pPr>
        <w:adjustRightInd w:val="0"/>
        <w:snapToGrid w:val="0"/>
        <w:spacing w:line="500" w:lineRule="exact"/>
        <w:rPr>
          <w:rFonts w:ascii="宋体" w:hAnsi="宋体" w:eastAsia="宋体" w:cs="宋体"/>
          <w:sz w:val="32"/>
          <w:szCs w:val="32"/>
        </w:rPr>
      </w:pPr>
      <w:bookmarkStart w:id="0" w:name="_Hlk183276450"/>
      <w:bookmarkStart w:id="1" w:name="_Hlk183440685"/>
      <w:bookmarkStart w:id="2" w:name="_Hlk183449498"/>
      <w:r>
        <w:rPr>
          <w:rFonts w:hint="eastAsia" w:ascii="宋体" w:hAnsi="宋体" w:eastAsia="宋体"/>
          <w:sz w:val="32"/>
          <w:szCs w:val="32"/>
        </w:rPr>
        <w:t>附件</w:t>
      </w:r>
      <w:bookmarkEnd w:id="0"/>
      <w:r>
        <w:rPr>
          <w:rFonts w:ascii="宋体" w:hAnsi="宋体" w:eastAsia="宋体" w:cs="宋体"/>
          <w:sz w:val="32"/>
          <w:szCs w:val="32"/>
        </w:rPr>
        <w:t>3</w:t>
      </w:r>
      <w:r>
        <w:rPr>
          <w:rFonts w:hint="eastAsia" w:ascii="宋体" w:hAnsi="宋体" w:eastAsia="宋体" w:cs="宋体"/>
          <w:sz w:val="32"/>
          <w:szCs w:val="32"/>
        </w:rPr>
        <w:t>：</w:t>
      </w:r>
    </w:p>
    <w:p w14:paraId="69EE343C">
      <w:pPr>
        <w:adjustRightInd w:val="0"/>
        <w:snapToGrid w:val="0"/>
        <w:spacing w:line="500" w:lineRule="exact"/>
        <w:jc w:val="center"/>
        <w:rPr>
          <w:rFonts w:ascii="黑体" w:hAnsi="黑体" w:eastAsia="黑体" w:cs="宋体"/>
          <w:color w:val="000000"/>
          <w:kern w:val="0"/>
          <w:sz w:val="32"/>
          <w:szCs w:val="32"/>
        </w:rPr>
      </w:pPr>
      <w:bookmarkStart w:id="3" w:name="OLE_LINK1"/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202</w:t>
      </w:r>
      <w:r>
        <w:rPr>
          <w:rFonts w:ascii="黑体" w:hAnsi="黑体" w:eastAsia="黑体" w:cs="宋体"/>
          <w:color w:val="000000"/>
          <w:kern w:val="0"/>
          <w:sz w:val="32"/>
          <w:szCs w:val="32"/>
        </w:rPr>
        <w:t>5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年度《学校年报》编制框架与撰写分工</w:t>
      </w:r>
    </w:p>
    <w:bookmarkEnd w:id="1"/>
    <w:bookmarkEnd w:id="2"/>
    <w:bookmarkEnd w:id="3"/>
    <w:tbl>
      <w:tblPr>
        <w:tblStyle w:val="7"/>
        <w:tblW w:w="5116" w:type="pct"/>
        <w:tblInd w:w="-2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"/>
        <w:gridCol w:w="1228"/>
        <w:gridCol w:w="3928"/>
        <w:gridCol w:w="1655"/>
        <w:gridCol w:w="1653"/>
      </w:tblGrid>
      <w:tr w14:paraId="5FE30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546" w:type="pct"/>
            <w:vAlign w:val="center"/>
          </w:tcPr>
          <w:p w14:paraId="74F91B3B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一级</w:t>
            </w:r>
          </w:p>
          <w:p w14:paraId="7256C320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标题</w:t>
            </w:r>
          </w:p>
        </w:tc>
        <w:tc>
          <w:tcPr>
            <w:tcW w:w="646" w:type="pct"/>
            <w:vAlign w:val="center"/>
          </w:tcPr>
          <w:p w14:paraId="0588A0F5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二级标题</w:t>
            </w:r>
          </w:p>
        </w:tc>
        <w:tc>
          <w:tcPr>
            <w:tcW w:w="2067" w:type="pct"/>
            <w:vAlign w:val="center"/>
          </w:tcPr>
          <w:p w14:paraId="62EA3A2C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撰写时应涉及的主要内容</w:t>
            </w:r>
          </w:p>
          <w:p w14:paraId="65939412">
            <w:pPr>
              <w:jc w:val="left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（下述内容仅为列举，具体包含内容由各牵头执笔部门根据一级、二级标题自定）</w:t>
            </w:r>
          </w:p>
        </w:tc>
        <w:tc>
          <w:tcPr>
            <w:tcW w:w="871" w:type="pct"/>
            <w:vAlign w:val="center"/>
          </w:tcPr>
          <w:p w14:paraId="108ED779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牵头材料汇总与年报内容执笔部门</w:t>
            </w:r>
          </w:p>
        </w:tc>
        <w:tc>
          <w:tcPr>
            <w:tcW w:w="870" w:type="pct"/>
            <w:vAlign w:val="center"/>
          </w:tcPr>
          <w:p w14:paraId="69A451CD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配合提供材料主要单位</w:t>
            </w:r>
          </w:p>
        </w:tc>
      </w:tr>
      <w:tr w14:paraId="2F1CF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pct"/>
            <w:vAlign w:val="center"/>
          </w:tcPr>
          <w:p w14:paraId="23C821F5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前</w:t>
            </w:r>
            <w:r>
              <w:rPr>
                <w:rFonts w:ascii="宋体" w:hAnsi="宋体" w:eastAsia="宋体" w:cs="宋体"/>
                <w:sz w:val="24"/>
                <w:szCs w:val="24"/>
              </w:rPr>
              <w:t>言</w:t>
            </w:r>
          </w:p>
        </w:tc>
        <w:tc>
          <w:tcPr>
            <w:tcW w:w="646" w:type="pct"/>
            <w:vAlign w:val="center"/>
          </w:tcPr>
          <w:p w14:paraId="4FCB8959"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67" w:type="pct"/>
            <w:vAlign w:val="center"/>
          </w:tcPr>
          <w:p w14:paraId="4E60F0E6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学校概述。包含：专业设置、师资队伍、教学资源、</w:t>
            </w:r>
            <w:r>
              <w:rPr>
                <w:rFonts w:ascii="宋体" w:hAnsi="宋体" w:eastAsia="宋体" w:cs="宋体"/>
                <w:sz w:val="24"/>
                <w:szCs w:val="24"/>
              </w:rPr>
              <w:t>在校生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数、学生就业、学校声誉等。</w:t>
            </w:r>
          </w:p>
        </w:tc>
        <w:tc>
          <w:tcPr>
            <w:tcW w:w="871" w:type="pct"/>
            <w:vAlign w:val="center"/>
          </w:tcPr>
          <w:p w14:paraId="69ECE02C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发展规划办公室</w:t>
            </w:r>
          </w:p>
        </w:tc>
        <w:tc>
          <w:tcPr>
            <w:tcW w:w="870" w:type="pct"/>
            <w:vAlign w:val="center"/>
          </w:tcPr>
          <w:p w14:paraId="78069206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教务处、人事处、学生处、招生就业处、党政办公室</w:t>
            </w:r>
          </w:p>
        </w:tc>
      </w:tr>
      <w:tr w14:paraId="1F0F7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546" w:type="pct"/>
            <w:vMerge w:val="restart"/>
            <w:vAlign w:val="center"/>
          </w:tcPr>
          <w:p w14:paraId="04E289E8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1人才培养</w:t>
            </w:r>
          </w:p>
        </w:tc>
        <w:tc>
          <w:tcPr>
            <w:tcW w:w="646" w:type="pct"/>
            <w:vAlign w:val="center"/>
          </w:tcPr>
          <w:p w14:paraId="01D13797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1.1立德树人</w:t>
            </w:r>
          </w:p>
        </w:tc>
        <w:tc>
          <w:tcPr>
            <w:tcW w:w="2067" w:type="pct"/>
            <w:vAlign w:val="center"/>
          </w:tcPr>
          <w:p w14:paraId="38E1E39A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与“立德树人”相关的举措、成效。包含：</w:t>
            </w:r>
          </w:p>
          <w:p w14:paraId="035061B0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党建示范、思政铸魂：党建品牌与思政品牌建设、文明创建等。</w:t>
            </w:r>
          </w:p>
          <w:p w14:paraId="238A71A0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思政课建设：思政课程建设、课程思政典型案例等。</w:t>
            </w:r>
          </w:p>
          <w:p w14:paraId="2A94BDE5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共青团工作：基层团支部建设、各种主题活动、 “青马工程”案例、获得的各种荣誉等。</w:t>
            </w:r>
          </w:p>
          <w:p w14:paraId="524E5912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学生工作：开学典礼、新生</w:t>
            </w:r>
            <w:r>
              <w:rPr>
                <w:rFonts w:ascii="宋体" w:hAnsi="宋体" w:eastAsia="宋体" w:cs="宋体"/>
                <w:sz w:val="24"/>
                <w:szCs w:val="24"/>
              </w:rPr>
              <w:t>军训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、开学第一课、</w:t>
            </w:r>
            <w:r>
              <w:rPr>
                <w:rFonts w:ascii="宋体" w:hAnsi="宋体" w:eastAsia="宋体" w:cs="宋体"/>
                <w:sz w:val="24"/>
                <w:szCs w:val="24"/>
              </w:rPr>
              <w:t>毕业典礼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、各种</w:t>
            </w:r>
            <w:r>
              <w:rPr>
                <w:rFonts w:ascii="宋体" w:hAnsi="宋体" w:eastAsia="宋体" w:cs="宋体"/>
                <w:sz w:val="24"/>
                <w:szCs w:val="24"/>
              </w:rPr>
              <w:t>主题班会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、学生干部培训、辅导员素</w:t>
            </w:r>
            <w:r>
              <w:rPr>
                <w:rFonts w:ascii="宋体" w:hAnsi="宋体" w:eastAsia="宋体" w:cs="宋体"/>
                <w:sz w:val="24"/>
                <w:szCs w:val="24"/>
              </w:rPr>
              <w:t>质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大赛、心理健康教育、获得的各种荣誉等。</w:t>
            </w:r>
          </w:p>
        </w:tc>
        <w:tc>
          <w:tcPr>
            <w:tcW w:w="871" w:type="pct"/>
            <w:vAlign w:val="center"/>
          </w:tcPr>
          <w:p w14:paraId="01B46DF0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宣传部</w:t>
            </w:r>
          </w:p>
        </w:tc>
        <w:tc>
          <w:tcPr>
            <w:tcW w:w="870" w:type="pct"/>
            <w:vAlign w:val="center"/>
          </w:tcPr>
          <w:p w14:paraId="22BBF0BE"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马克思主义学院、团委、</w:t>
            </w:r>
            <w:r>
              <w:rPr>
                <w:rFonts w:ascii="宋体" w:hAnsi="宋体" w:eastAsia="宋体" w:cs="宋体"/>
                <w:sz w:val="24"/>
                <w:szCs w:val="24"/>
              </w:rPr>
              <w:t>学生处、保卫处</w:t>
            </w:r>
          </w:p>
        </w:tc>
      </w:tr>
      <w:tr w14:paraId="7CF2D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0" w:hRule="atLeast"/>
        </w:trPr>
        <w:tc>
          <w:tcPr>
            <w:tcW w:w="546" w:type="pct"/>
            <w:vMerge w:val="continue"/>
            <w:vAlign w:val="center"/>
          </w:tcPr>
          <w:p w14:paraId="2EF162EB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646" w:type="pct"/>
            <w:vAlign w:val="center"/>
          </w:tcPr>
          <w:p w14:paraId="7D6CA07E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1.2多样成才</w:t>
            </w:r>
          </w:p>
        </w:tc>
        <w:tc>
          <w:tcPr>
            <w:tcW w:w="2067" w:type="pct"/>
            <w:vAlign w:val="center"/>
          </w:tcPr>
          <w:p w14:paraId="0A2965E7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与学生“多样成才”相关的举措、成效，重点突出拓宽学生成长成才通道的举措与成效等。包含：</w:t>
            </w:r>
          </w:p>
          <w:p w14:paraId="07C3F884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团学工作：学代会、团代会等学生工作典型案例、团学工作荣誉等。</w:t>
            </w:r>
          </w:p>
          <w:p w14:paraId="4DBC684F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社团活动：社团文化艺术节等校园文化活动、专业社团工作总结以及典型案例等。</w:t>
            </w:r>
          </w:p>
          <w:p w14:paraId="3205CA15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社会参与：学生社会实践活动等。</w:t>
            </w:r>
          </w:p>
          <w:p w14:paraId="786697DB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征兵工作：国防教育、征兵情况、学生在部队获奖情况等。</w:t>
            </w:r>
          </w:p>
          <w:p w14:paraId="3254B98B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专升本：专升本辅导情况、年度专升本录取情况等。</w:t>
            </w:r>
          </w:p>
          <w:p w14:paraId="464C877A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6.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学生参加</w:t>
            </w:r>
            <w:r>
              <w:rPr>
                <w:rFonts w:ascii="宋体" w:hAnsi="宋体" w:eastAsia="宋体" w:cs="宋体"/>
                <w:sz w:val="24"/>
                <w:szCs w:val="24"/>
              </w:rPr>
              <w:t>函授学历教育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情况等。</w:t>
            </w:r>
          </w:p>
          <w:p w14:paraId="4B55FAC8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毕业生就业创业典型材料等。</w:t>
            </w:r>
          </w:p>
        </w:tc>
        <w:tc>
          <w:tcPr>
            <w:tcW w:w="871" w:type="pct"/>
            <w:vAlign w:val="center"/>
          </w:tcPr>
          <w:p w14:paraId="146074D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团委</w:t>
            </w:r>
          </w:p>
        </w:tc>
        <w:tc>
          <w:tcPr>
            <w:tcW w:w="870" w:type="pct"/>
            <w:vAlign w:val="center"/>
          </w:tcPr>
          <w:p w14:paraId="3C82B1FC"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学生处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、</w:t>
            </w:r>
            <w:r>
              <w:rPr>
                <w:rFonts w:ascii="宋体" w:hAnsi="宋体" w:eastAsia="宋体" w:cs="宋体"/>
                <w:sz w:val="24"/>
                <w:szCs w:val="24"/>
              </w:rPr>
              <w:t>保卫处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、教务处、继续教育学院、招生就业处</w:t>
            </w:r>
          </w:p>
        </w:tc>
      </w:tr>
      <w:tr w14:paraId="73BE0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46" w:type="pct"/>
            <w:vMerge w:val="continue"/>
            <w:vAlign w:val="center"/>
          </w:tcPr>
          <w:p w14:paraId="05942A3A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646" w:type="pct"/>
            <w:vAlign w:val="center"/>
          </w:tcPr>
          <w:p w14:paraId="2024A0DB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1.3技能成长</w:t>
            </w:r>
          </w:p>
        </w:tc>
        <w:tc>
          <w:tcPr>
            <w:tcW w:w="2067" w:type="pct"/>
            <w:vAlign w:val="center"/>
          </w:tcPr>
          <w:p w14:paraId="176F1822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与帮助学生“技能成长”相关的举措、成效，重点突出技能培训、技能大赛、获奖情况等。包含：</w:t>
            </w:r>
          </w:p>
          <w:p w14:paraId="269141AB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校级及以上学生</w:t>
            </w:r>
            <w:r>
              <w:rPr>
                <w:rFonts w:ascii="宋体" w:hAnsi="宋体" w:eastAsia="宋体" w:cs="宋体"/>
                <w:sz w:val="24"/>
                <w:szCs w:val="24"/>
              </w:rPr>
              <w:t>技能大赛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情况。</w:t>
            </w:r>
          </w:p>
          <w:p w14:paraId="626153AB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挑战杯、创新创业大赛等情况。</w:t>
            </w:r>
          </w:p>
          <w:p w14:paraId="383BA45C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职业技能认定、</w:t>
            </w:r>
            <w:r>
              <w:rPr>
                <w:rFonts w:ascii="宋体" w:hAnsi="宋体" w:eastAsia="宋体" w:cs="宋体"/>
                <w:sz w:val="24"/>
                <w:szCs w:val="24"/>
              </w:rPr>
              <w:t>1+X证书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等工作。</w:t>
            </w:r>
          </w:p>
        </w:tc>
        <w:tc>
          <w:tcPr>
            <w:tcW w:w="871" w:type="pct"/>
            <w:vAlign w:val="center"/>
          </w:tcPr>
          <w:p w14:paraId="7F7A8D84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教务处</w:t>
            </w:r>
          </w:p>
        </w:tc>
        <w:tc>
          <w:tcPr>
            <w:tcW w:w="870" w:type="pct"/>
            <w:vAlign w:val="center"/>
          </w:tcPr>
          <w:p w14:paraId="631D3D1A"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招生就业处、继续教育学院、学生处、团委</w:t>
            </w:r>
          </w:p>
        </w:tc>
      </w:tr>
      <w:tr w14:paraId="3401B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4" w:hRule="atLeast"/>
        </w:trPr>
        <w:tc>
          <w:tcPr>
            <w:tcW w:w="546" w:type="pct"/>
            <w:vMerge w:val="continue"/>
            <w:vAlign w:val="center"/>
          </w:tcPr>
          <w:p w14:paraId="5D02AAF3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646" w:type="pct"/>
            <w:vAlign w:val="center"/>
          </w:tcPr>
          <w:p w14:paraId="4A6517CD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</w:t>
            </w:r>
            <w:r>
              <w:rPr>
                <w:rFonts w:ascii="宋体" w:hAnsi="宋体" w:eastAsia="宋体" w:cs="宋体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专业建设</w:t>
            </w:r>
          </w:p>
        </w:tc>
        <w:tc>
          <w:tcPr>
            <w:tcW w:w="2067" w:type="pct"/>
            <w:vAlign w:val="center"/>
          </w:tcPr>
          <w:p w14:paraId="3ADB284C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与“专业建设”相关的举措、成效，重点突出教学改革、教育教学质量与专业建设质量相关的举措与成效。包含：</w:t>
            </w:r>
          </w:p>
          <w:p w14:paraId="7799BC41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z w:val="24"/>
                <w:szCs w:val="24"/>
              </w:rPr>
              <w:t>.人才培养方案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修订情况。</w:t>
            </w:r>
          </w:p>
          <w:p w14:paraId="2CAD1918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2.“</w:t>
            </w:r>
            <w:r>
              <w:rPr>
                <w:rFonts w:ascii="宋体" w:hAnsi="宋体" w:eastAsia="宋体" w:cs="宋体"/>
                <w:sz w:val="24"/>
                <w:szCs w:val="24"/>
              </w:rPr>
              <w:t>2+N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”执行成效：与</w:t>
            </w:r>
            <w:r>
              <w:rPr>
                <w:rFonts w:ascii="宋体" w:hAnsi="宋体" w:eastAsia="宋体" w:cs="宋体"/>
                <w:sz w:val="24"/>
                <w:szCs w:val="24"/>
              </w:rPr>
              <w:t>教学改革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、课程建设相关的做法和成果，线上线下混合教学等。</w:t>
            </w:r>
          </w:p>
          <w:p w14:paraId="3627FD90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3.优质教材建设、校企合作开发教材等。</w:t>
            </w:r>
          </w:p>
          <w:p w14:paraId="2BFD6535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4.数字化教学资源建设、专业教学资源库、虚拟仿真平台建设等。</w:t>
            </w:r>
          </w:p>
          <w:p w14:paraId="234EE00D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5.高水平专业（群）</w:t>
            </w:r>
            <w:r>
              <w:rPr>
                <w:rFonts w:ascii="宋体" w:hAnsi="宋体" w:eastAsia="宋体" w:cs="宋体"/>
                <w:sz w:val="24"/>
                <w:szCs w:val="24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示范性专业点建设成效等。</w:t>
            </w:r>
          </w:p>
        </w:tc>
        <w:tc>
          <w:tcPr>
            <w:tcW w:w="871" w:type="pct"/>
            <w:vAlign w:val="center"/>
          </w:tcPr>
          <w:p w14:paraId="199DFA74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教务处</w:t>
            </w:r>
          </w:p>
        </w:tc>
        <w:tc>
          <w:tcPr>
            <w:tcW w:w="870" w:type="pct"/>
            <w:vAlign w:val="center"/>
          </w:tcPr>
          <w:p w14:paraId="23F61EA1"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各学院、发展规划办公室</w:t>
            </w:r>
          </w:p>
        </w:tc>
      </w:tr>
      <w:tr w14:paraId="7EC11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546" w:type="pct"/>
            <w:vMerge w:val="continue"/>
            <w:vAlign w:val="center"/>
          </w:tcPr>
          <w:p w14:paraId="79E40A3D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646" w:type="pct"/>
            <w:vAlign w:val="center"/>
          </w:tcPr>
          <w:p w14:paraId="3C69BDF9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1.5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师资队伍</w:t>
            </w:r>
          </w:p>
        </w:tc>
        <w:tc>
          <w:tcPr>
            <w:tcW w:w="2067" w:type="pct"/>
            <w:vAlign w:val="center"/>
          </w:tcPr>
          <w:p w14:paraId="18808B99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与高质量人才培养相适应的“师资队伍”建设情况。包含：</w:t>
            </w:r>
          </w:p>
          <w:p w14:paraId="1C13E671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教师国培、省培、行业企业实践、“双师型”培训学习等。</w:t>
            </w:r>
          </w:p>
          <w:p w14:paraId="217AC08C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z w:val="24"/>
                <w:szCs w:val="24"/>
              </w:rPr>
              <w:t>.教师教学能力比赛、课程思政教学创新大赛、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教学技能竞赛、教育教学信息化交流等，各种获奖情况。</w:t>
            </w:r>
          </w:p>
          <w:p w14:paraId="3FA9BE04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教师获省职教专家、省职教名师、省骨干教师等情况。</w:t>
            </w:r>
          </w:p>
        </w:tc>
        <w:tc>
          <w:tcPr>
            <w:tcW w:w="871" w:type="pct"/>
            <w:vAlign w:val="center"/>
          </w:tcPr>
          <w:p w14:paraId="3329EEC9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人事处</w:t>
            </w:r>
          </w:p>
        </w:tc>
        <w:tc>
          <w:tcPr>
            <w:tcW w:w="870" w:type="pct"/>
            <w:vAlign w:val="center"/>
          </w:tcPr>
          <w:p w14:paraId="6DEB8102"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教务处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、各学院（部）</w:t>
            </w:r>
          </w:p>
        </w:tc>
      </w:tr>
      <w:tr w14:paraId="01C50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</w:trPr>
        <w:tc>
          <w:tcPr>
            <w:tcW w:w="546" w:type="pct"/>
            <w:vMerge w:val="continue"/>
            <w:tcBorders>
              <w:bottom w:val="single" w:color="auto" w:sz="4" w:space="0"/>
            </w:tcBorders>
            <w:vAlign w:val="center"/>
          </w:tcPr>
          <w:p w14:paraId="414AEA46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646" w:type="pct"/>
            <w:vAlign w:val="center"/>
          </w:tcPr>
          <w:p w14:paraId="720A54B2">
            <w:pPr>
              <w:tabs>
                <w:tab w:val="left" w:pos="958"/>
                <w:tab w:val="left" w:pos="1078"/>
              </w:tabs>
              <w:adjustRightInd w:val="0"/>
              <w:snapToGrid w:val="0"/>
              <w:spacing w:line="279" w:lineRule="auto"/>
              <w:rPr>
                <w:rFonts w:ascii="宋体" w:hAnsi="宋体" w:eastAsia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</w:t>
            </w:r>
            <w:r>
              <w:rPr>
                <w:rFonts w:ascii="宋体" w:hAnsi="宋体" w:eastAsia="宋体" w:cs="宋体"/>
                <w:sz w:val="24"/>
                <w:szCs w:val="24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职业发展</w:t>
            </w:r>
          </w:p>
        </w:tc>
        <w:tc>
          <w:tcPr>
            <w:tcW w:w="2067" w:type="pct"/>
            <w:tcBorders>
              <w:bottom w:val="single" w:color="auto" w:sz="4" w:space="0"/>
            </w:tcBorders>
            <w:vAlign w:val="center"/>
          </w:tcPr>
          <w:p w14:paraId="24E0BCDB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与学生“职业发展”相关的举措与成效，重点突出与推动学生职业发展、提升就业质量、</w:t>
            </w:r>
            <w:r>
              <w:rPr>
                <w:rFonts w:ascii="宋体" w:hAnsi="宋体" w:eastAsia="宋体" w:cs="宋体"/>
                <w:sz w:val="24"/>
                <w:szCs w:val="24"/>
              </w:rPr>
              <w:t>创新创业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等相关的举措与成效。包含：</w:t>
            </w:r>
          </w:p>
          <w:p w14:paraId="32A720A2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开展职业生涯规划培训、职业生涯规划大赛、创新创业教育、访企拓岗、校园等各种招聘等。</w:t>
            </w:r>
          </w:p>
          <w:p w14:paraId="309059CC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2.近三年毕业生就业质量（月收入、就业满意度、专业对口度）、就业流向（就业地区、行业、单位性质分布）数据统计及分析等。</w:t>
            </w:r>
          </w:p>
        </w:tc>
        <w:tc>
          <w:tcPr>
            <w:tcW w:w="871" w:type="pct"/>
            <w:tcBorders>
              <w:bottom w:val="single" w:color="auto" w:sz="4" w:space="0"/>
            </w:tcBorders>
            <w:vAlign w:val="center"/>
          </w:tcPr>
          <w:p w14:paraId="09564C79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招生就业处</w:t>
            </w:r>
          </w:p>
        </w:tc>
        <w:tc>
          <w:tcPr>
            <w:tcW w:w="870" w:type="pct"/>
            <w:tcBorders>
              <w:bottom w:val="single" w:color="auto" w:sz="4" w:space="0"/>
            </w:tcBorders>
            <w:vAlign w:val="center"/>
          </w:tcPr>
          <w:p w14:paraId="2CD1A574"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教务处、学生处、团委、各学院</w:t>
            </w:r>
          </w:p>
        </w:tc>
      </w:tr>
      <w:tr w14:paraId="2704D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pct"/>
            <w:vMerge w:val="restart"/>
            <w:vAlign w:val="center"/>
          </w:tcPr>
          <w:p w14:paraId="7F53A4CA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2服务贡献</w:t>
            </w:r>
          </w:p>
        </w:tc>
        <w:tc>
          <w:tcPr>
            <w:tcW w:w="646" w:type="pct"/>
            <w:vAlign w:val="center"/>
          </w:tcPr>
          <w:p w14:paraId="46E5DDEF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2.1</w:t>
            </w:r>
            <w:r>
              <w:rPr>
                <w:rFonts w:ascii="宋体" w:hAnsi="宋体" w:eastAsia="宋体" w:cs="宋体"/>
                <w:sz w:val="24"/>
                <w:szCs w:val="24"/>
              </w:rPr>
              <w:t>服务行业企业</w:t>
            </w:r>
          </w:p>
        </w:tc>
        <w:tc>
          <w:tcPr>
            <w:tcW w:w="2067" w:type="pct"/>
            <w:vAlign w:val="center"/>
          </w:tcPr>
          <w:p w14:paraId="12B88826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与“服务行业企业”相关的举措与成效。包含：</w:t>
            </w:r>
          </w:p>
          <w:p w14:paraId="72E454C8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促进就业创业、主动服务行业企业需求的具体做法。</w:t>
            </w:r>
          </w:p>
          <w:p w14:paraId="2C5AFE67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2.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服务更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加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充分就业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方面的典型案例。</w:t>
            </w:r>
          </w:p>
          <w:p w14:paraId="54B726CB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提供技术服务、搭建创新平台、开展送教进企等。</w:t>
            </w:r>
          </w:p>
          <w:p w14:paraId="7B7FF0AA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教师主要科研成果及转化情况等。</w:t>
            </w:r>
          </w:p>
        </w:tc>
        <w:tc>
          <w:tcPr>
            <w:tcW w:w="871" w:type="pct"/>
            <w:vAlign w:val="center"/>
          </w:tcPr>
          <w:p w14:paraId="49508F89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招生就业处</w:t>
            </w:r>
          </w:p>
        </w:tc>
        <w:tc>
          <w:tcPr>
            <w:tcW w:w="870" w:type="pct"/>
            <w:vAlign w:val="center"/>
          </w:tcPr>
          <w:p w14:paraId="7640979A"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教务处、科研外事处、继续教育学院、各学院</w:t>
            </w:r>
          </w:p>
        </w:tc>
      </w:tr>
      <w:tr w14:paraId="402AA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pct"/>
            <w:vMerge w:val="continue"/>
            <w:vAlign w:val="center"/>
          </w:tcPr>
          <w:p w14:paraId="7F41059F">
            <w:pPr>
              <w:jc w:val="center"/>
              <w:rPr>
                <w:rFonts w:ascii="宋体" w:hAnsi="宋体" w:eastAsia="宋体" w:cs="宋体"/>
                <w:color w:val="4472C4" w:themeColor="accent1"/>
                <w:sz w:val="24"/>
                <w:szCs w:val="24"/>
                <w14:textFill>
                  <w14:solidFill>
                    <w14:schemeClr w14:val="accent1"/>
                  </w14:solidFill>
                </w14:textFill>
              </w:rPr>
            </w:pPr>
          </w:p>
        </w:tc>
        <w:tc>
          <w:tcPr>
            <w:tcW w:w="646" w:type="pct"/>
            <w:vAlign w:val="center"/>
          </w:tcPr>
          <w:p w14:paraId="7C81AF60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2.2服务乡村振兴</w:t>
            </w:r>
          </w:p>
        </w:tc>
        <w:tc>
          <w:tcPr>
            <w:tcW w:w="2067" w:type="pct"/>
            <w:vAlign w:val="center"/>
          </w:tcPr>
          <w:p w14:paraId="0B78F646">
            <w:pPr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与“服务乡村振兴”相关的举措与成效。包含：</w:t>
            </w:r>
          </w:p>
          <w:p w14:paraId="6BBE9BB9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“三区人才”、科技专家服务活动总结、典型案例。</w:t>
            </w:r>
          </w:p>
          <w:p w14:paraId="1B478D52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.具有地域特色的服务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乡村振兴情况、典型案例。</w:t>
            </w:r>
          </w:p>
          <w:p w14:paraId="1631F794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帮扶慰问等工作等。</w:t>
            </w:r>
          </w:p>
        </w:tc>
        <w:tc>
          <w:tcPr>
            <w:tcW w:w="871" w:type="pct"/>
            <w:vAlign w:val="center"/>
          </w:tcPr>
          <w:p w14:paraId="28497625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科研外事处</w:t>
            </w:r>
          </w:p>
        </w:tc>
        <w:tc>
          <w:tcPr>
            <w:tcW w:w="870" w:type="pct"/>
            <w:vAlign w:val="center"/>
          </w:tcPr>
          <w:p w14:paraId="15F3AC6E"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继续教育学院、工会</w:t>
            </w:r>
          </w:p>
        </w:tc>
      </w:tr>
      <w:tr w14:paraId="365D0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pct"/>
            <w:vMerge w:val="continue"/>
            <w:vAlign w:val="center"/>
          </w:tcPr>
          <w:p w14:paraId="401F57F0">
            <w:pPr>
              <w:jc w:val="center"/>
              <w:rPr>
                <w:rFonts w:ascii="宋体" w:hAnsi="宋体" w:eastAsia="宋体" w:cs="宋体"/>
                <w:color w:val="4472C4" w:themeColor="accent1"/>
                <w:sz w:val="24"/>
                <w:szCs w:val="24"/>
                <w14:textFill>
                  <w14:solidFill>
                    <w14:schemeClr w14:val="accent1"/>
                  </w14:solidFill>
                </w14:textFill>
              </w:rPr>
            </w:pPr>
          </w:p>
        </w:tc>
        <w:tc>
          <w:tcPr>
            <w:tcW w:w="646" w:type="pct"/>
            <w:vAlign w:val="center"/>
          </w:tcPr>
          <w:p w14:paraId="0D7D649D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</w:t>
            </w:r>
            <w:r>
              <w:rPr>
                <w:rFonts w:ascii="宋体" w:hAnsi="宋体" w:eastAsia="宋体" w:cs="宋体"/>
                <w:sz w:val="24"/>
                <w:szCs w:val="24"/>
              </w:rPr>
              <w:t>3服务地方发展</w:t>
            </w:r>
          </w:p>
        </w:tc>
        <w:tc>
          <w:tcPr>
            <w:tcW w:w="2067" w:type="pct"/>
            <w:vAlign w:val="center"/>
          </w:tcPr>
          <w:p w14:paraId="44C15581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与“服务地方发展”相关的举措与成效。包含：</w:t>
            </w:r>
          </w:p>
          <w:p w14:paraId="6F2092E3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1.高素质农民培训。</w:t>
            </w:r>
          </w:p>
          <w:p w14:paraId="48394B88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2.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服务地方社区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服务民生保障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等活动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。</w:t>
            </w:r>
          </w:p>
          <w:p w14:paraId="1D0D9632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3.服务国家战略、地方发展、技术研发等方面的典型案例。</w:t>
            </w:r>
          </w:p>
        </w:tc>
        <w:tc>
          <w:tcPr>
            <w:tcW w:w="871" w:type="pct"/>
            <w:vAlign w:val="center"/>
          </w:tcPr>
          <w:p w14:paraId="0F31C524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继续教育学院</w:t>
            </w:r>
          </w:p>
        </w:tc>
        <w:tc>
          <w:tcPr>
            <w:tcW w:w="870" w:type="pct"/>
            <w:vAlign w:val="center"/>
          </w:tcPr>
          <w:p w14:paraId="2D47CBAA"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后勤服务中心、科研外事处</w:t>
            </w:r>
          </w:p>
        </w:tc>
      </w:tr>
      <w:tr w14:paraId="5D323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pct"/>
            <w:vMerge w:val="continue"/>
            <w:vAlign w:val="center"/>
          </w:tcPr>
          <w:p w14:paraId="2A043BC0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646" w:type="pct"/>
            <w:vAlign w:val="center"/>
          </w:tcPr>
          <w:p w14:paraId="7F74F5A2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</w:t>
            </w:r>
            <w:r>
              <w:rPr>
                <w:rFonts w:ascii="宋体" w:hAnsi="宋体" w:eastAsia="宋体" w:cs="宋体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服务美丽中国</w:t>
            </w:r>
          </w:p>
        </w:tc>
        <w:tc>
          <w:tcPr>
            <w:tcW w:w="2067" w:type="pct"/>
            <w:vAlign w:val="center"/>
          </w:tcPr>
          <w:p w14:paraId="31F20E19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与“服务美丽中国”相关的举措与成效。包含：</w:t>
            </w:r>
          </w:p>
          <w:p w14:paraId="023AB0E7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践行“两山”理论、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生态文明、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生态环境保护方面的贡献与服务案例等。</w:t>
            </w:r>
          </w:p>
          <w:p w14:paraId="3893BEEB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野生动植物标本馆服务社会情况等。</w:t>
            </w:r>
          </w:p>
        </w:tc>
        <w:tc>
          <w:tcPr>
            <w:tcW w:w="871" w:type="pct"/>
            <w:vAlign w:val="center"/>
          </w:tcPr>
          <w:p w14:paraId="467EED21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生态工程学院</w:t>
            </w:r>
          </w:p>
        </w:tc>
        <w:tc>
          <w:tcPr>
            <w:tcW w:w="870" w:type="pct"/>
            <w:vAlign w:val="center"/>
          </w:tcPr>
          <w:p w14:paraId="171008E7"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教务处</w:t>
            </w:r>
            <w:bookmarkStart w:id="4" w:name="OLE_LINK2"/>
            <w:r>
              <w:rPr>
                <w:rFonts w:hint="eastAsia" w:ascii="宋体" w:hAnsi="宋体" w:eastAsia="宋体" w:cs="宋体"/>
                <w:sz w:val="24"/>
                <w:szCs w:val="24"/>
              </w:rPr>
              <w:t>、园林园艺学院</w:t>
            </w:r>
            <w:bookmarkEnd w:id="4"/>
          </w:p>
        </w:tc>
      </w:tr>
      <w:tr w14:paraId="301A3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pct"/>
            <w:vMerge w:val="restart"/>
            <w:vAlign w:val="center"/>
          </w:tcPr>
          <w:p w14:paraId="6B5AA327">
            <w:pPr>
              <w:jc w:val="center"/>
              <w:rPr>
                <w:rFonts w:ascii="宋体" w:hAnsi="宋体" w:eastAsia="宋体" w:cs="宋体"/>
                <w:color w:val="4472C4" w:themeColor="accent1"/>
                <w:sz w:val="24"/>
                <w:szCs w:val="24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3文化传承</w:t>
            </w:r>
          </w:p>
        </w:tc>
        <w:tc>
          <w:tcPr>
            <w:tcW w:w="646" w:type="pct"/>
            <w:vAlign w:val="center"/>
          </w:tcPr>
          <w:p w14:paraId="0F3208EE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3.1传承工匠精神</w:t>
            </w:r>
          </w:p>
        </w:tc>
        <w:tc>
          <w:tcPr>
            <w:tcW w:w="2067" w:type="pct"/>
            <w:vAlign w:val="center"/>
          </w:tcPr>
          <w:p w14:paraId="0A0C5809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与“传承工匠精神”相关的举措与成效。包含：</w:t>
            </w:r>
          </w:p>
          <w:p w14:paraId="768F22C5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工匠、劳模进校园活动。</w:t>
            </w:r>
          </w:p>
          <w:p w14:paraId="10A2451C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河洛工匠、工匠工作室、大师工作室、“五一”劳动奖等情况。</w:t>
            </w:r>
          </w:p>
          <w:p w14:paraId="0D8D4C62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工匠精神对促进就业创业、主动服务地方和行业需求的具体做法、案例等。</w:t>
            </w:r>
          </w:p>
        </w:tc>
        <w:tc>
          <w:tcPr>
            <w:tcW w:w="871" w:type="pct"/>
            <w:vAlign w:val="center"/>
          </w:tcPr>
          <w:p w14:paraId="785D740D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工会</w:t>
            </w:r>
          </w:p>
        </w:tc>
        <w:tc>
          <w:tcPr>
            <w:tcW w:w="870" w:type="pct"/>
            <w:vAlign w:val="center"/>
          </w:tcPr>
          <w:p w14:paraId="00B80EBE"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宣传部、教务处、招生就业处</w:t>
            </w:r>
          </w:p>
        </w:tc>
      </w:tr>
      <w:tr w14:paraId="0E0EA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pct"/>
            <w:vMerge w:val="continue"/>
            <w:vAlign w:val="center"/>
          </w:tcPr>
          <w:p w14:paraId="79060AB9">
            <w:pPr>
              <w:jc w:val="center"/>
              <w:rPr>
                <w:rFonts w:ascii="宋体" w:hAnsi="宋体" w:eastAsia="宋体" w:cs="宋体"/>
                <w:color w:val="4472C4" w:themeColor="accent1"/>
                <w:sz w:val="24"/>
                <w:szCs w:val="24"/>
                <w14:textFill>
                  <w14:solidFill>
                    <w14:schemeClr w14:val="accent1"/>
                  </w14:solidFill>
                </w14:textFill>
              </w:rPr>
            </w:pPr>
          </w:p>
        </w:tc>
        <w:tc>
          <w:tcPr>
            <w:tcW w:w="646" w:type="pct"/>
            <w:vAlign w:val="center"/>
          </w:tcPr>
          <w:p w14:paraId="77D65CDE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3.2传承红色基因</w:t>
            </w:r>
          </w:p>
        </w:tc>
        <w:tc>
          <w:tcPr>
            <w:tcW w:w="2067" w:type="pct"/>
            <w:vAlign w:val="center"/>
          </w:tcPr>
          <w:p w14:paraId="65FF3C4E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与“传承红色基因”相关的举措与成效。包括：</w:t>
            </w:r>
          </w:p>
          <w:p w14:paraId="73243F2D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红色基因融入课堂情况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。</w:t>
            </w:r>
          </w:p>
          <w:p w14:paraId="75B5AA67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红色文创案例等。</w:t>
            </w:r>
          </w:p>
        </w:tc>
        <w:tc>
          <w:tcPr>
            <w:tcW w:w="871" w:type="pct"/>
            <w:vAlign w:val="center"/>
          </w:tcPr>
          <w:p w14:paraId="34A5273A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马克思主义学院</w:t>
            </w:r>
          </w:p>
        </w:tc>
        <w:tc>
          <w:tcPr>
            <w:tcW w:w="870" w:type="pct"/>
            <w:vAlign w:val="center"/>
          </w:tcPr>
          <w:p w14:paraId="55573810"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宣传部、团委</w:t>
            </w:r>
          </w:p>
        </w:tc>
      </w:tr>
      <w:tr w14:paraId="76A1E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pct"/>
            <w:vMerge w:val="continue"/>
            <w:vAlign w:val="center"/>
          </w:tcPr>
          <w:p w14:paraId="6338582E">
            <w:pPr>
              <w:jc w:val="center"/>
              <w:rPr>
                <w:rFonts w:ascii="宋体" w:hAnsi="宋体" w:eastAsia="宋体" w:cs="宋体"/>
                <w:color w:val="4472C4" w:themeColor="accent1"/>
                <w:sz w:val="24"/>
                <w:szCs w:val="24"/>
                <w14:textFill>
                  <w14:solidFill>
                    <w14:schemeClr w14:val="accent1"/>
                  </w14:solidFill>
                </w14:textFill>
              </w:rPr>
            </w:pPr>
          </w:p>
        </w:tc>
        <w:tc>
          <w:tcPr>
            <w:tcW w:w="646" w:type="pct"/>
            <w:vAlign w:val="center"/>
          </w:tcPr>
          <w:p w14:paraId="039BC70A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3.3传承优秀传统文化</w:t>
            </w:r>
          </w:p>
        </w:tc>
        <w:tc>
          <w:tcPr>
            <w:tcW w:w="2067" w:type="pct"/>
            <w:vAlign w:val="center"/>
          </w:tcPr>
          <w:p w14:paraId="4315549A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与“传承优秀传统文化”相关的举措与成效。包含：</w:t>
            </w:r>
          </w:p>
          <w:p w14:paraId="2A52527B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开设传统文化类课程情况。</w:t>
            </w:r>
          </w:p>
          <w:p w14:paraId="0A2F7472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尊老爱老敬老传统美德、领导看望慰问退休老同志、庆祝</w:t>
            </w:r>
            <w:r>
              <w:rPr>
                <w:rFonts w:ascii="宋体" w:hAnsi="宋体" w:eastAsia="宋体" w:cs="宋体"/>
                <w:sz w:val="24"/>
                <w:szCs w:val="24"/>
              </w:rPr>
              <w:t>教师节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、勤俭节约等。</w:t>
            </w:r>
          </w:p>
        </w:tc>
        <w:tc>
          <w:tcPr>
            <w:tcW w:w="871" w:type="pct"/>
            <w:vAlign w:val="center"/>
          </w:tcPr>
          <w:p w14:paraId="7E7A39E5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马克思主义学院</w:t>
            </w:r>
          </w:p>
        </w:tc>
        <w:tc>
          <w:tcPr>
            <w:tcW w:w="870" w:type="pct"/>
            <w:vAlign w:val="center"/>
          </w:tcPr>
          <w:p w14:paraId="5992FA87"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宣传部、团委、学生处、后勤服务中心、离退休工作办公室、教务处</w:t>
            </w:r>
          </w:p>
        </w:tc>
      </w:tr>
      <w:tr w14:paraId="12265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46" w:type="pct"/>
            <w:vMerge w:val="restart"/>
            <w:vAlign w:val="center"/>
          </w:tcPr>
          <w:p w14:paraId="3B4027FE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  <w:bookmarkStart w:id="5" w:name="_Hlk183276232"/>
            <w:r>
              <w:rPr>
                <w:rFonts w:hint="eastAsia" w:ascii="宋体" w:hAnsi="宋体" w:eastAsia="宋体" w:cs="宋体"/>
                <w:sz w:val="24"/>
                <w:szCs w:val="24"/>
              </w:rPr>
              <w:t>国际合作</w:t>
            </w:r>
            <w:bookmarkEnd w:id="5"/>
          </w:p>
        </w:tc>
        <w:tc>
          <w:tcPr>
            <w:tcW w:w="646" w:type="pct"/>
            <w:vAlign w:val="center"/>
          </w:tcPr>
          <w:p w14:paraId="274B0109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4.1合作办学</w:t>
            </w:r>
          </w:p>
        </w:tc>
        <w:tc>
          <w:tcPr>
            <w:tcW w:w="2067" w:type="pct"/>
            <w:vAlign w:val="center"/>
          </w:tcPr>
          <w:p w14:paraId="59212085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与“合作办学”相关的举措与成效。包含：</w:t>
            </w:r>
          </w:p>
          <w:p w14:paraId="2E729315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与韩国岭南大学中外合作办学项目情况。</w:t>
            </w:r>
          </w:p>
          <w:p w14:paraId="03736DDF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与意大利马尔凯高等技术智慧学院合作情况等。</w:t>
            </w:r>
          </w:p>
        </w:tc>
        <w:tc>
          <w:tcPr>
            <w:tcW w:w="871" w:type="pct"/>
            <w:vAlign w:val="center"/>
          </w:tcPr>
          <w:p w14:paraId="10CE9458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教务处</w:t>
            </w:r>
          </w:p>
        </w:tc>
        <w:tc>
          <w:tcPr>
            <w:tcW w:w="870" w:type="pct"/>
            <w:vAlign w:val="center"/>
          </w:tcPr>
          <w:p w14:paraId="7E4AAEF1"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科研外事处</w:t>
            </w:r>
          </w:p>
        </w:tc>
      </w:tr>
      <w:tr w14:paraId="56E7F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9" w:hRule="atLeast"/>
        </w:trPr>
        <w:tc>
          <w:tcPr>
            <w:tcW w:w="546" w:type="pct"/>
            <w:vMerge w:val="continue"/>
            <w:vAlign w:val="center"/>
          </w:tcPr>
          <w:p w14:paraId="63DDBF7B">
            <w:pPr>
              <w:jc w:val="center"/>
              <w:rPr>
                <w:rFonts w:ascii="宋体" w:hAnsi="宋体" w:eastAsia="宋体" w:cs="宋体"/>
                <w:color w:val="4472C4" w:themeColor="accent1"/>
                <w:sz w:val="24"/>
                <w:szCs w:val="24"/>
                <w14:textFill>
                  <w14:solidFill>
                    <w14:schemeClr w14:val="accent1"/>
                  </w14:solidFill>
                </w14:textFill>
              </w:rPr>
            </w:pPr>
          </w:p>
        </w:tc>
        <w:tc>
          <w:tcPr>
            <w:tcW w:w="646" w:type="pct"/>
            <w:vAlign w:val="center"/>
          </w:tcPr>
          <w:p w14:paraId="4D07C1ED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4.</w:t>
            </w:r>
            <w:r>
              <w:rPr>
                <w:rFonts w:ascii="宋体" w:hAnsi="宋体" w:eastAsia="宋体" w:cs="宋体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交流互鉴</w:t>
            </w:r>
          </w:p>
        </w:tc>
        <w:tc>
          <w:tcPr>
            <w:tcW w:w="2067" w:type="pct"/>
            <w:vAlign w:val="center"/>
          </w:tcPr>
          <w:p w14:paraId="752D2003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与“交流互鉴”相关的举措与成效。包含：</w:t>
            </w:r>
          </w:p>
          <w:p w14:paraId="5F320EA5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kern w:val="0"/>
                <w:sz w:val="24"/>
                <w:szCs w:val="24"/>
              </w:rPr>
              <w:t>1.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创新国际交流与合作机制建设情况。</w:t>
            </w:r>
          </w:p>
          <w:p w14:paraId="3DA77EAF">
            <w:pPr>
              <w:rPr>
                <w:rFonts w:ascii="宋体" w:hAnsi="宋体" w:eastAsia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napToGrid w:val="0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宋体"/>
                <w:snapToGrid w:val="0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/>
                <w:snapToGrid w:val="0"/>
                <w:kern w:val="0"/>
                <w:sz w:val="24"/>
                <w:szCs w:val="24"/>
              </w:rPr>
              <w:t>韩国岭南大学教师来校授课、学校访问岭南大学情况等。</w:t>
            </w:r>
          </w:p>
        </w:tc>
        <w:tc>
          <w:tcPr>
            <w:tcW w:w="871" w:type="pct"/>
            <w:vAlign w:val="center"/>
          </w:tcPr>
          <w:p w14:paraId="6C37B763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园林园艺学院</w:t>
            </w:r>
          </w:p>
        </w:tc>
        <w:tc>
          <w:tcPr>
            <w:tcW w:w="870" w:type="pct"/>
            <w:vAlign w:val="center"/>
          </w:tcPr>
          <w:p w14:paraId="5DB3D464"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教务处、科研外事处、旅游与食品学院、智能制造与装备学院</w:t>
            </w:r>
          </w:p>
        </w:tc>
      </w:tr>
      <w:tr w14:paraId="4CFE2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pct"/>
            <w:vMerge w:val="restart"/>
            <w:vAlign w:val="center"/>
          </w:tcPr>
          <w:p w14:paraId="13AE7768">
            <w:pPr>
              <w:jc w:val="center"/>
              <w:rPr>
                <w:rFonts w:ascii="宋体" w:hAnsi="宋体" w:eastAsia="宋体" w:cs="宋体"/>
                <w:color w:val="4472C4" w:themeColor="accent1"/>
                <w:sz w:val="24"/>
                <w:szCs w:val="24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5产教融合</w:t>
            </w:r>
          </w:p>
        </w:tc>
        <w:tc>
          <w:tcPr>
            <w:tcW w:w="646" w:type="pct"/>
            <w:vAlign w:val="center"/>
          </w:tcPr>
          <w:p w14:paraId="27278B61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5.1共创机制</w:t>
            </w:r>
          </w:p>
        </w:tc>
        <w:tc>
          <w:tcPr>
            <w:tcW w:w="2067" w:type="pct"/>
            <w:vAlign w:val="center"/>
          </w:tcPr>
          <w:p w14:paraId="39F3FBA7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与产教融合相关机制建设的举措与成效。包含：</w:t>
            </w:r>
          </w:p>
          <w:p w14:paraId="5B06E926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省示范性产教融合型职业院校培育建设案例。</w:t>
            </w:r>
          </w:p>
          <w:p w14:paraId="15965705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校企合作：合作企业数量、协议签订、运行机制等。</w:t>
            </w:r>
          </w:p>
          <w:p w14:paraId="331ABD5D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职教集团：全国林果智能装备产教融合共同体、河南省林业职业教育集团、中国智慧林业产教融合共同体、中国（北方）现代林业职</w:t>
            </w:r>
            <w:r>
              <w:rPr>
                <w:rFonts w:ascii="宋体" w:hAnsi="宋体" w:eastAsia="宋体" w:cs="宋体"/>
                <w:sz w:val="24"/>
                <w:szCs w:val="24"/>
              </w:rPr>
              <w:t>业教育集团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的运行情况、成果等。</w:t>
            </w:r>
          </w:p>
        </w:tc>
        <w:tc>
          <w:tcPr>
            <w:tcW w:w="871" w:type="pct"/>
            <w:vAlign w:val="center"/>
          </w:tcPr>
          <w:p w14:paraId="354FB884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教务处</w:t>
            </w:r>
          </w:p>
        </w:tc>
        <w:tc>
          <w:tcPr>
            <w:tcW w:w="870" w:type="pct"/>
            <w:vAlign w:val="center"/>
          </w:tcPr>
          <w:p w14:paraId="23DF6A4F"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智能制造与装备学院、生态工程学院、园林园艺学院</w:t>
            </w:r>
          </w:p>
        </w:tc>
      </w:tr>
      <w:tr w14:paraId="68E7E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pct"/>
            <w:vMerge w:val="continue"/>
            <w:vAlign w:val="center"/>
          </w:tcPr>
          <w:p w14:paraId="4CBDC2A3">
            <w:pPr>
              <w:jc w:val="center"/>
              <w:rPr>
                <w:rFonts w:ascii="宋体" w:hAnsi="宋体" w:eastAsia="宋体" w:cs="宋体"/>
                <w:color w:val="4472C4" w:themeColor="accent1"/>
                <w:sz w:val="24"/>
                <w:szCs w:val="24"/>
                <w14:textFill>
                  <w14:solidFill>
                    <w14:schemeClr w14:val="accent1"/>
                  </w14:solidFill>
                </w14:textFill>
              </w:rPr>
            </w:pPr>
          </w:p>
        </w:tc>
        <w:tc>
          <w:tcPr>
            <w:tcW w:w="646" w:type="pct"/>
            <w:vAlign w:val="center"/>
          </w:tcPr>
          <w:p w14:paraId="26E0B238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5.2共建资源</w:t>
            </w:r>
          </w:p>
        </w:tc>
        <w:tc>
          <w:tcPr>
            <w:tcW w:w="2067" w:type="pct"/>
            <w:vAlign w:val="center"/>
          </w:tcPr>
          <w:p w14:paraId="23D44CB1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与“共建资源”相关的举措与成效。包含：</w:t>
            </w:r>
          </w:p>
          <w:p w14:paraId="5B23A4F2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产教融合中心、公共实践中心、企业实践中心、工程技术研究中心等建设情况。</w:t>
            </w:r>
          </w:p>
          <w:p w14:paraId="1521E15E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共建实训基地情况、案例。</w:t>
            </w:r>
          </w:p>
        </w:tc>
        <w:tc>
          <w:tcPr>
            <w:tcW w:w="871" w:type="pct"/>
            <w:vAlign w:val="center"/>
          </w:tcPr>
          <w:p w14:paraId="48E2FA61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教务处</w:t>
            </w:r>
          </w:p>
        </w:tc>
        <w:tc>
          <w:tcPr>
            <w:tcW w:w="870" w:type="pct"/>
            <w:vAlign w:val="center"/>
          </w:tcPr>
          <w:p w14:paraId="4FCF9084"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科研外事处、各学院</w:t>
            </w:r>
          </w:p>
        </w:tc>
      </w:tr>
      <w:tr w14:paraId="7C4C4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pct"/>
            <w:vMerge w:val="continue"/>
            <w:vAlign w:val="center"/>
          </w:tcPr>
          <w:p w14:paraId="23D7FA12">
            <w:pPr>
              <w:jc w:val="center"/>
              <w:rPr>
                <w:rFonts w:ascii="宋体" w:hAnsi="宋体" w:eastAsia="宋体" w:cs="宋体"/>
                <w:color w:val="4472C4" w:themeColor="accent1"/>
                <w:sz w:val="24"/>
                <w:szCs w:val="24"/>
                <w14:textFill>
                  <w14:solidFill>
                    <w14:schemeClr w14:val="accent1"/>
                  </w14:solidFill>
                </w14:textFill>
              </w:rPr>
            </w:pPr>
          </w:p>
        </w:tc>
        <w:tc>
          <w:tcPr>
            <w:tcW w:w="646" w:type="pct"/>
            <w:vAlign w:val="center"/>
          </w:tcPr>
          <w:p w14:paraId="2FA1377E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5.3共育人才</w:t>
            </w:r>
          </w:p>
        </w:tc>
        <w:tc>
          <w:tcPr>
            <w:tcW w:w="2067" w:type="pct"/>
            <w:vAlign w:val="center"/>
          </w:tcPr>
          <w:p w14:paraId="1AF23031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与“共育人才”相关的举措与成效。包含：</w:t>
            </w:r>
          </w:p>
          <w:p w14:paraId="71E07A05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校企双元育人、引入企业导师制度、校企人员互聘、校企合作教学等。</w:t>
            </w:r>
          </w:p>
          <w:p w14:paraId="56DAA40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实施现代学徒制、订单班、店长班情况与案例等。</w:t>
            </w:r>
          </w:p>
        </w:tc>
        <w:tc>
          <w:tcPr>
            <w:tcW w:w="871" w:type="pct"/>
            <w:vAlign w:val="center"/>
          </w:tcPr>
          <w:p w14:paraId="588865E9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教务处</w:t>
            </w:r>
          </w:p>
        </w:tc>
        <w:tc>
          <w:tcPr>
            <w:tcW w:w="870" w:type="pct"/>
            <w:vAlign w:val="center"/>
          </w:tcPr>
          <w:p w14:paraId="1CD396C8"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人事处、招生就业处、经济与管理学院、商务学院</w:t>
            </w:r>
          </w:p>
        </w:tc>
      </w:tr>
      <w:tr w14:paraId="3491D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pct"/>
            <w:vMerge w:val="continue"/>
            <w:vAlign w:val="center"/>
          </w:tcPr>
          <w:p w14:paraId="1496C262">
            <w:pPr>
              <w:jc w:val="center"/>
              <w:rPr>
                <w:rFonts w:ascii="宋体" w:hAnsi="宋体" w:eastAsia="宋体" w:cs="宋体"/>
                <w:color w:val="4472C4" w:themeColor="accent1"/>
                <w:sz w:val="24"/>
                <w:szCs w:val="24"/>
                <w14:textFill>
                  <w14:solidFill>
                    <w14:schemeClr w14:val="accent1"/>
                  </w14:solidFill>
                </w14:textFill>
              </w:rPr>
            </w:pPr>
          </w:p>
        </w:tc>
        <w:tc>
          <w:tcPr>
            <w:tcW w:w="646" w:type="pct"/>
            <w:vAlign w:val="center"/>
          </w:tcPr>
          <w:p w14:paraId="76ABEC5C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5.4共培双师</w:t>
            </w:r>
          </w:p>
        </w:tc>
        <w:tc>
          <w:tcPr>
            <w:tcW w:w="2067" w:type="pct"/>
            <w:vAlign w:val="center"/>
          </w:tcPr>
          <w:p w14:paraId="276E29A4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与“双师共培”相关的举措与成效。包含：</w:t>
            </w:r>
          </w:p>
          <w:p w14:paraId="0E01B448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校企共培“双师型”教师队伍的政策、举措等。</w:t>
            </w:r>
          </w:p>
          <w:p w14:paraId="3C977F8E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“双师型”教师队伍建设情况等。</w:t>
            </w:r>
          </w:p>
        </w:tc>
        <w:tc>
          <w:tcPr>
            <w:tcW w:w="871" w:type="pct"/>
            <w:vAlign w:val="center"/>
          </w:tcPr>
          <w:p w14:paraId="233707DA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人事处</w:t>
            </w:r>
          </w:p>
        </w:tc>
        <w:tc>
          <w:tcPr>
            <w:tcW w:w="870" w:type="pct"/>
            <w:vAlign w:val="center"/>
          </w:tcPr>
          <w:p w14:paraId="1B05476D"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教务处</w:t>
            </w:r>
          </w:p>
        </w:tc>
      </w:tr>
      <w:tr w14:paraId="3ACE5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pct"/>
            <w:vMerge w:val="restart"/>
            <w:vAlign w:val="center"/>
          </w:tcPr>
          <w:p w14:paraId="59CF4B15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6发展保障</w:t>
            </w:r>
          </w:p>
        </w:tc>
        <w:tc>
          <w:tcPr>
            <w:tcW w:w="646" w:type="pct"/>
            <w:vAlign w:val="center"/>
          </w:tcPr>
          <w:p w14:paraId="008041D8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6.1党建引领</w:t>
            </w:r>
          </w:p>
        </w:tc>
        <w:tc>
          <w:tcPr>
            <w:tcW w:w="2067" w:type="pct"/>
            <w:vAlign w:val="center"/>
          </w:tcPr>
          <w:p w14:paraId="7B052BE0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与“党建引领”相关的举措与成效。包含：</w:t>
            </w:r>
          </w:p>
          <w:p w14:paraId="6366925B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党建工作：党委理论学习中心组学习情况总结等。</w:t>
            </w:r>
          </w:p>
          <w:p w14:paraId="584DEC09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2.全面从严治党工作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：党纪学习教育、党员干部警示教育活动、廉政党课、廉洁文化等。</w:t>
            </w:r>
          </w:p>
          <w:p w14:paraId="621FCEDE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马克思主义学院工作典型案例。</w:t>
            </w:r>
          </w:p>
          <w:p w14:paraId="32EEEDC8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党员培训：预备党员、正式党员的人数及培训情况等。</w:t>
            </w:r>
          </w:p>
          <w:p w14:paraId="6C475569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主题党日活动：在洛阳组、洛八路等地开展主题党日活动等。</w:t>
            </w:r>
          </w:p>
          <w:p w14:paraId="536AAD72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6.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意识形</w:t>
            </w:r>
            <w:r>
              <w:rPr>
                <w:rFonts w:ascii="宋体" w:hAnsi="宋体" w:eastAsia="宋体" w:cs="宋体"/>
                <w:sz w:val="24"/>
                <w:szCs w:val="24"/>
              </w:rPr>
              <w:t>态、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统战工作、</w:t>
            </w:r>
            <w:r>
              <w:rPr>
                <w:rFonts w:ascii="宋体" w:hAnsi="宋体" w:eastAsia="宋体" w:cs="宋体"/>
                <w:sz w:val="24"/>
                <w:szCs w:val="24"/>
              </w:rPr>
              <w:t>网络舆情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、</w:t>
            </w:r>
            <w:r>
              <w:rPr>
                <w:rFonts w:ascii="宋体" w:hAnsi="宋体" w:eastAsia="宋体" w:cs="宋体"/>
                <w:sz w:val="24"/>
                <w:szCs w:val="24"/>
              </w:rPr>
              <w:t>安全稳定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等工作分析研判等。</w:t>
            </w:r>
          </w:p>
        </w:tc>
        <w:tc>
          <w:tcPr>
            <w:tcW w:w="871" w:type="pct"/>
            <w:vAlign w:val="center"/>
          </w:tcPr>
          <w:p w14:paraId="368216D2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党政办公室</w:t>
            </w:r>
          </w:p>
        </w:tc>
        <w:tc>
          <w:tcPr>
            <w:tcW w:w="870" w:type="pct"/>
            <w:vAlign w:val="center"/>
          </w:tcPr>
          <w:p w14:paraId="3E8CCE2D"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组织部</w:t>
            </w:r>
            <w:r>
              <w:rPr>
                <w:rFonts w:ascii="宋体" w:hAnsi="宋体" w:eastAsia="宋体" w:cs="宋体"/>
                <w:sz w:val="24"/>
                <w:szCs w:val="24"/>
              </w:rPr>
              <w:t>(人事处)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、纪委办公室、马克思主义学院、各党总支、各直属党支部、宣传部</w:t>
            </w:r>
          </w:p>
        </w:tc>
      </w:tr>
      <w:tr w14:paraId="4091A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pct"/>
            <w:vMerge w:val="continue"/>
            <w:vAlign w:val="center"/>
          </w:tcPr>
          <w:p w14:paraId="19273E7D">
            <w:pPr>
              <w:jc w:val="center"/>
              <w:rPr>
                <w:rFonts w:ascii="宋体" w:hAnsi="宋体" w:eastAsia="宋体" w:cs="宋体"/>
                <w:color w:val="4472C4" w:themeColor="accent1"/>
                <w:sz w:val="24"/>
                <w:szCs w:val="24"/>
                <w14:textFill>
                  <w14:solidFill>
                    <w14:schemeClr w14:val="accent1"/>
                  </w14:solidFill>
                </w14:textFill>
              </w:rPr>
            </w:pPr>
          </w:p>
        </w:tc>
        <w:tc>
          <w:tcPr>
            <w:tcW w:w="646" w:type="pct"/>
            <w:vAlign w:val="center"/>
          </w:tcPr>
          <w:p w14:paraId="1194F62A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6.2经费保障</w:t>
            </w:r>
          </w:p>
        </w:tc>
        <w:tc>
          <w:tcPr>
            <w:tcW w:w="2067" w:type="pct"/>
            <w:vAlign w:val="center"/>
          </w:tcPr>
          <w:p w14:paraId="4BAAE509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与“经费保障”相关的举措与成效。包括：</w:t>
            </w:r>
          </w:p>
          <w:p w14:paraId="1AB457F1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办学经费构成、办学经费支出、生均教学科研仪器设备值情况总结等。</w:t>
            </w:r>
          </w:p>
        </w:tc>
        <w:tc>
          <w:tcPr>
            <w:tcW w:w="871" w:type="pct"/>
            <w:vAlign w:val="center"/>
          </w:tcPr>
          <w:p w14:paraId="4D2385E5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计划财务处</w:t>
            </w:r>
          </w:p>
        </w:tc>
        <w:tc>
          <w:tcPr>
            <w:tcW w:w="870" w:type="pct"/>
            <w:vAlign w:val="center"/>
          </w:tcPr>
          <w:p w14:paraId="139E7240"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国资管理与招标办公室</w:t>
            </w:r>
          </w:p>
        </w:tc>
      </w:tr>
      <w:tr w14:paraId="69745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pct"/>
            <w:vMerge w:val="continue"/>
            <w:vAlign w:val="center"/>
          </w:tcPr>
          <w:p w14:paraId="3005DE4C">
            <w:pPr>
              <w:jc w:val="center"/>
              <w:rPr>
                <w:rFonts w:ascii="宋体" w:hAnsi="宋体" w:eastAsia="宋体" w:cs="宋体"/>
                <w:color w:val="4472C4" w:themeColor="accent1"/>
                <w:sz w:val="24"/>
                <w:szCs w:val="24"/>
                <w14:textFill>
                  <w14:solidFill>
                    <w14:schemeClr w14:val="accent1"/>
                  </w14:solidFill>
                </w14:textFill>
              </w:rPr>
            </w:pPr>
          </w:p>
        </w:tc>
        <w:tc>
          <w:tcPr>
            <w:tcW w:w="646" w:type="pct"/>
            <w:vAlign w:val="center"/>
          </w:tcPr>
          <w:p w14:paraId="6C2DD090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6.3条件保障</w:t>
            </w:r>
          </w:p>
        </w:tc>
        <w:tc>
          <w:tcPr>
            <w:tcW w:w="2067" w:type="pct"/>
            <w:vAlign w:val="center"/>
          </w:tcPr>
          <w:p w14:paraId="359EB51E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指保障学校发展和人才培养质量的各种条件。包括：</w:t>
            </w:r>
          </w:p>
          <w:p w14:paraId="799A600F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安全保障：学生安全、食品安全、实验室安全、实习实训安全、在建项目安全、消防安全、防汛救灾应急演练、警民共建、平安校园建设等安全稳定、安全防范措施、学生医保和校方责任险工作等。</w:t>
            </w:r>
          </w:p>
          <w:p w14:paraId="790AD399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资源保障：（1）基本建设保障。办公场所改造、餐厅改造、宿舍楼改造、园林实训</w:t>
            </w:r>
            <w:r>
              <w:rPr>
                <w:rFonts w:ascii="宋体" w:hAnsi="宋体" w:eastAsia="宋体" w:cs="宋体"/>
                <w:sz w:val="24"/>
                <w:szCs w:val="24"/>
              </w:rPr>
              <w:t>中心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建设等。（2）教学资源保障。实验实训室建设、图书馆工作、校园网络建设等。</w:t>
            </w:r>
          </w:p>
          <w:p w14:paraId="34A7250A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组织保障：</w:t>
            </w:r>
            <w:r>
              <w:rPr>
                <w:rFonts w:ascii="宋体" w:hAnsi="宋体" w:eastAsia="宋体" w:cs="宋体"/>
                <w:sz w:val="24"/>
                <w:szCs w:val="24"/>
              </w:rPr>
              <w:t>中层干部履职能力提升培训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、新教师入职培训等。</w:t>
            </w:r>
          </w:p>
        </w:tc>
        <w:tc>
          <w:tcPr>
            <w:tcW w:w="871" w:type="pct"/>
            <w:vAlign w:val="center"/>
          </w:tcPr>
          <w:p w14:paraId="016D67A9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保卫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处（安全保障）、总务处（资源保障）、人事处（组织保障）</w:t>
            </w:r>
          </w:p>
        </w:tc>
        <w:tc>
          <w:tcPr>
            <w:tcW w:w="870" w:type="pct"/>
            <w:vAlign w:val="center"/>
          </w:tcPr>
          <w:p w14:paraId="0B44CCE0"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教务处、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学生</w:t>
            </w:r>
            <w:r>
              <w:rPr>
                <w:rFonts w:ascii="宋体" w:hAnsi="宋体" w:eastAsia="宋体" w:cs="宋体"/>
                <w:sz w:val="24"/>
                <w:szCs w:val="24"/>
              </w:rPr>
              <w:t>处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、后勤服务中心、图书馆、网络管理中心</w:t>
            </w:r>
            <w:bookmarkStart w:id="7" w:name="_GoBack"/>
            <w:bookmarkEnd w:id="7"/>
          </w:p>
        </w:tc>
      </w:tr>
      <w:tr w14:paraId="29822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pct"/>
            <w:vMerge w:val="continue"/>
            <w:vAlign w:val="center"/>
          </w:tcPr>
          <w:p w14:paraId="2E671761">
            <w:pPr>
              <w:jc w:val="center"/>
              <w:rPr>
                <w:rFonts w:ascii="宋体" w:hAnsi="宋体" w:eastAsia="宋体" w:cs="宋体"/>
                <w:color w:val="4472C4" w:themeColor="accent1"/>
                <w:sz w:val="24"/>
                <w:szCs w:val="24"/>
                <w14:textFill>
                  <w14:solidFill>
                    <w14:schemeClr w14:val="accent1"/>
                  </w14:solidFill>
                </w14:textFill>
              </w:rPr>
            </w:pPr>
          </w:p>
        </w:tc>
        <w:tc>
          <w:tcPr>
            <w:tcW w:w="646" w:type="pct"/>
            <w:vAlign w:val="center"/>
          </w:tcPr>
          <w:p w14:paraId="43F8BE74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6.4质量保障</w:t>
            </w:r>
          </w:p>
        </w:tc>
        <w:tc>
          <w:tcPr>
            <w:tcW w:w="2067" w:type="pct"/>
            <w:vAlign w:val="center"/>
          </w:tcPr>
          <w:p w14:paraId="0A4884C8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与“质量保证”体系建设相关的举措与成效。包括：</w:t>
            </w:r>
          </w:p>
          <w:p w14:paraId="45A8E596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工作调度：重点工作调度会、重点工作推进会、</w:t>
            </w:r>
            <w:r>
              <w:rPr>
                <w:rFonts w:ascii="宋体" w:hAnsi="宋体" w:eastAsia="宋体" w:cs="宋体"/>
                <w:sz w:val="24"/>
                <w:szCs w:val="24"/>
              </w:rPr>
              <w:t>学期工作考核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、校领导深入教学一线检查等。</w:t>
            </w:r>
          </w:p>
          <w:p w14:paraId="38AF364B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专项检查：校领导随机进班听课、教学督导委员会常规听课、</w:t>
            </w:r>
            <w:r>
              <w:rPr>
                <w:rFonts w:ascii="宋体" w:hAnsi="宋体" w:eastAsia="宋体" w:cs="宋体"/>
                <w:sz w:val="24"/>
                <w:szCs w:val="24"/>
              </w:rPr>
              <w:t>教材使用、校内出版物专项检查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等。</w:t>
            </w:r>
          </w:p>
        </w:tc>
        <w:tc>
          <w:tcPr>
            <w:tcW w:w="871" w:type="pct"/>
            <w:vAlign w:val="center"/>
          </w:tcPr>
          <w:p w14:paraId="576385BF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党政办公室</w:t>
            </w:r>
          </w:p>
        </w:tc>
        <w:tc>
          <w:tcPr>
            <w:tcW w:w="870" w:type="pct"/>
            <w:vAlign w:val="center"/>
          </w:tcPr>
          <w:p w14:paraId="34C2A008"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宣传部、教务处、人事处、教学督导办</w:t>
            </w:r>
          </w:p>
        </w:tc>
      </w:tr>
      <w:tr w14:paraId="0A58E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pct"/>
            <w:vMerge w:val="continue"/>
            <w:vAlign w:val="center"/>
          </w:tcPr>
          <w:p w14:paraId="0085BDE0">
            <w:pPr>
              <w:jc w:val="center"/>
              <w:rPr>
                <w:rFonts w:ascii="宋体" w:hAnsi="宋体" w:eastAsia="宋体" w:cs="宋体"/>
                <w:color w:val="4472C4" w:themeColor="accent1"/>
                <w:sz w:val="24"/>
                <w:szCs w:val="24"/>
                <w14:textFill>
                  <w14:solidFill>
                    <w14:schemeClr w14:val="accent1"/>
                  </w14:solidFill>
                </w14:textFill>
              </w:rPr>
            </w:pPr>
          </w:p>
        </w:tc>
        <w:tc>
          <w:tcPr>
            <w:tcW w:w="646" w:type="pct"/>
            <w:vAlign w:val="center"/>
          </w:tcPr>
          <w:p w14:paraId="25D1EC0E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z w:val="24"/>
                <w:szCs w:val="24"/>
              </w:rPr>
              <w:t>.5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政策保障</w:t>
            </w:r>
          </w:p>
        </w:tc>
        <w:tc>
          <w:tcPr>
            <w:tcW w:w="2067" w:type="pct"/>
            <w:vAlign w:val="center"/>
          </w:tcPr>
          <w:p w14:paraId="61A35F87">
            <w:pPr>
              <w:rPr>
                <w:rFonts w:ascii="宋体" w:hAnsi="宋体" w:eastAsia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为保障学校发展和人才培养质量，制定的与</w:t>
            </w:r>
            <w:r>
              <w:rPr>
                <w:rFonts w:ascii="宋体" w:hAnsi="宋体" w:eastAsia="宋体"/>
                <w:bCs/>
                <w:sz w:val="24"/>
                <w:szCs w:val="24"/>
              </w:rPr>
              <w:t>学校治理</w:t>
            </w: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、职工代表大会、深化综合改革、招生培养模式、信息公开等相关政策和制度。包括：</w:t>
            </w:r>
          </w:p>
          <w:p w14:paraId="23D933B6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党政工作：《年度工作任务考核管理办法》等执行情况。</w:t>
            </w:r>
          </w:p>
          <w:p w14:paraId="51F00DB2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人事工作：《高校教师系列专业技术职务推荐、评审办法》《专业技术岗位等级晋升实施办法》《高层次人才引进工作方案》等执行情况。</w:t>
            </w:r>
          </w:p>
          <w:p w14:paraId="2DD04C2F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教学工作：《</w:t>
            </w:r>
            <w:r>
              <w:rPr>
                <w:rFonts w:ascii="宋体" w:hAnsi="宋体" w:eastAsia="宋体" w:cs="宋体"/>
                <w:sz w:val="24"/>
                <w:szCs w:val="24"/>
              </w:rPr>
              <w:t>专业动态调整管理办法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》《</w:t>
            </w:r>
            <w:r>
              <w:rPr>
                <w:rFonts w:ascii="宋体" w:hAnsi="宋体" w:eastAsia="宋体" w:cs="宋体"/>
                <w:sz w:val="24"/>
                <w:szCs w:val="24"/>
              </w:rPr>
              <w:t>实习管理办法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》《</w:t>
            </w:r>
            <w:r>
              <w:rPr>
                <w:rFonts w:ascii="宋体" w:hAnsi="宋体" w:eastAsia="宋体" w:cs="宋体"/>
                <w:sz w:val="24"/>
                <w:szCs w:val="24"/>
              </w:rPr>
              <w:t>教材建设管理办法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》《健全和完善教学质量监控与保障体系的实施方案》《全面建立技能竞赛制度的实施办法》等执行情况。</w:t>
            </w:r>
          </w:p>
          <w:p w14:paraId="54238EF2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学生工作：《学生意外伤害事故应急预案》《进一步加强大学生心理健康教育工作实施方案》等执行情况。</w:t>
            </w:r>
          </w:p>
          <w:p w14:paraId="4DAFBDBE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审计工作：《建设工程项目审计管理办法》《建设工程项目全过</w:t>
            </w:r>
            <w:r>
              <w:rPr>
                <w:rFonts w:ascii="宋体" w:hAnsi="宋体" w:eastAsia="宋体" w:cs="宋体"/>
                <w:sz w:val="24"/>
                <w:szCs w:val="24"/>
              </w:rPr>
              <w:t>程跟踪审计实施办法》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等执行情况。</w:t>
            </w:r>
          </w:p>
          <w:p w14:paraId="74788D80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6.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图书工作：《图书文献资源采购管理制度》等执行情况。</w:t>
            </w:r>
          </w:p>
          <w:p w14:paraId="214A926E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7.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项目管理：《校内项目库管理办法》等执行情况。</w:t>
            </w:r>
          </w:p>
          <w:p w14:paraId="015998FA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8.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教（工）代会召开情况等。</w:t>
            </w:r>
          </w:p>
        </w:tc>
        <w:tc>
          <w:tcPr>
            <w:tcW w:w="871" w:type="pct"/>
            <w:vAlign w:val="center"/>
          </w:tcPr>
          <w:p w14:paraId="75E07D2A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党政办公室</w:t>
            </w:r>
          </w:p>
        </w:tc>
        <w:tc>
          <w:tcPr>
            <w:tcW w:w="870" w:type="pct"/>
            <w:vAlign w:val="center"/>
          </w:tcPr>
          <w:p w14:paraId="654E5D29"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人事处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、教务处、</w:t>
            </w:r>
            <w:r>
              <w:rPr>
                <w:rFonts w:ascii="宋体" w:hAnsi="宋体" w:eastAsia="宋体" w:cs="宋体"/>
                <w:sz w:val="24"/>
                <w:szCs w:val="24"/>
              </w:rPr>
              <w:t>学生处、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审计办公室、图书馆、计划财务处、纪委办公室、国资管理与招标办公室、工会、宣传部、科研外事处、招生就业处</w:t>
            </w:r>
          </w:p>
        </w:tc>
      </w:tr>
      <w:tr w14:paraId="6C383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6" w:hRule="atLeast"/>
        </w:trPr>
        <w:tc>
          <w:tcPr>
            <w:tcW w:w="546" w:type="pct"/>
            <w:vAlign w:val="center"/>
          </w:tcPr>
          <w:p w14:paraId="0FCE8C8A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</w:t>
            </w:r>
            <w:bookmarkStart w:id="6" w:name="_Hlk183276279"/>
            <w:r>
              <w:rPr>
                <w:rFonts w:hint="eastAsia" w:ascii="宋体" w:hAnsi="宋体" w:eastAsia="宋体" w:cs="宋体"/>
                <w:sz w:val="24"/>
                <w:szCs w:val="24"/>
              </w:rPr>
              <w:t>面临挑战</w:t>
            </w:r>
            <w:bookmarkEnd w:id="6"/>
          </w:p>
        </w:tc>
        <w:tc>
          <w:tcPr>
            <w:tcW w:w="646" w:type="pct"/>
            <w:vAlign w:val="center"/>
          </w:tcPr>
          <w:p w14:paraId="01F24D59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基于</w:t>
            </w:r>
            <w:r>
              <w:rPr>
                <w:rFonts w:ascii="宋体" w:hAnsi="宋体" w:eastAsia="宋体" w:cs="宋体"/>
                <w:sz w:val="24"/>
                <w:szCs w:val="24"/>
              </w:rPr>
              <w:t>高质量产教融合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条件下职业教育发展的挑战</w:t>
            </w:r>
          </w:p>
        </w:tc>
        <w:tc>
          <w:tcPr>
            <w:tcW w:w="2067" w:type="pct"/>
            <w:vAlign w:val="center"/>
          </w:tcPr>
          <w:p w14:paraId="3EC1C526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结合省第二期“双高”申报，撰写该挑战内容。包括：</w:t>
            </w:r>
          </w:p>
          <w:p w14:paraId="17BE2CE4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“办学条件高水平</w:t>
            </w:r>
            <w:r>
              <w:rPr>
                <w:rFonts w:ascii="宋体" w:hAnsi="宋体" w:eastAsia="宋体" w:cs="宋体"/>
                <w:sz w:val="24"/>
                <w:szCs w:val="24"/>
              </w:rPr>
              <w:t>,产教融合高质量”是中国职业教育改革中“新双高”理念的核心内涵，旨在通过提升院校办学能力与深化校企合作，推动职业教育高质量发展。这一理念强调办学能力是产教融合的基础，而产教融合是提升办学能力的重要途径，两者相互促进、协同发展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。</w:t>
            </w:r>
          </w:p>
          <w:p w14:paraId="24BD8466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探索行业产教融合共同体的新经验新范式、人才培养方案修订、传统优势专业（群）面对产业转型升级问题等情况。</w:t>
            </w:r>
          </w:p>
          <w:p w14:paraId="0FE21684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高水平</w:t>
            </w:r>
            <w:r>
              <w:rPr>
                <w:rFonts w:ascii="宋体" w:hAnsi="宋体" w:eastAsia="宋体" w:cs="宋体"/>
                <w:sz w:val="24"/>
                <w:szCs w:val="24"/>
              </w:rPr>
              <w:t>“双师”队伍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是“双高”建设的关键办学条件之一。</w:t>
            </w:r>
          </w:p>
          <w:p w14:paraId="478E002F">
            <w:pPr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学生的创新创业能力提升、学生的高质量就业是职业教育发展的结果。</w:t>
            </w:r>
          </w:p>
        </w:tc>
        <w:tc>
          <w:tcPr>
            <w:tcW w:w="871" w:type="pct"/>
            <w:vAlign w:val="center"/>
          </w:tcPr>
          <w:p w14:paraId="5B7A5CDA">
            <w:pPr>
              <w:jc w:val="center"/>
              <w:rPr>
                <w:rFonts w:ascii="宋体" w:hAnsi="宋体" w:eastAsia="宋体" w:cs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教务处</w:t>
            </w:r>
          </w:p>
        </w:tc>
        <w:tc>
          <w:tcPr>
            <w:tcW w:w="870" w:type="pct"/>
            <w:vAlign w:val="center"/>
          </w:tcPr>
          <w:p w14:paraId="2DA9F567"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智能制造与装备学院、生态工程学院、园林园艺学院、人事处、招生就业处、发展规划办公室</w:t>
            </w:r>
          </w:p>
        </w:tc>
      </w:tr>
    </w:tbl>
    <w:p w14:paraId="06BF3457">
      <w:pPr>
        <w:pStyle w:val="6"/>
        <w:spacing w:before="108" w:beforeAutospacing="0" w:after="168" w:afterAutospacing="0"/>
        <w:ind w:firstLine="608"/>
        <w:jc w:val="center"/>
      </w:pPr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768"/>
    <w:rsid w:val="00005831"/>
    <w:rsid w:val="0000765B"/>
    <w:rsid w:val="00010775"/>
    <w:rsid w:val="00015051"/>
    <w:rsid w:val="00015E44"/>
    <w:rsid w:val="00020C80"/>
    <w:rsid w:val="00024FD7"/>
    <w:rsid w:val="00032F22"/>
    <w:rsid w:val="0003354B"/>
    <w:rsid w:val="00060C32"/>
    <w:rsid w:val="000616D1"/>
    <w:rsid w:val="00061715"/>
    <w:rsid w:val="000665BC"/>
    <w:rsid w:val="00067862"/>
    <w:rsid w:val="00067D41"/>
    <w:rsid w:val="000709DE"/>
    <w:rsid w:val="000815EF"/>
    <w:rsid w:val="000900B4"/>
    <w:rsid w:val="000B7C5C"/>
    <w:rsid w:val="000C3F8C"/>
    <w:rsid w:val="000C6013"/>
    <w:rsid w:val="000D0F7A"/>
    <w:rsid w:val="000E229E"/>
    <w:rsid w:val="000E5907"/>
    <w:rsid w:val="00100BE1"/>
    <w:rsid w:val="001066B2"/>
    <w:rsid w:val="00122734"/>
    <w:rsid w:val="001239C4"/>
    <w:rsid w:val="0013509B"/>
    <w:rsid w:val="00147423"/>
    <w:rsid w:val="0015204B"/>
    <w:rsid w:val="00153D83"/>
    <w:rsid w:val="00160138"/>
    <w:rsid w:val="00171E0E"/>
    <w:rsid w:val="001816BA"/>
    <w:rsid w:val="00185966"/>
    <w:rsid w:val="001C14E2"/>
    <w:rsid w:val="001C238E"/>
    <w:rsid w:val="001C33D5"/>
    <w:rsid w:val="001C3FED"/>
    <w:rsid w:val="001C6A2B"/>
    <w:rsid w:val="001C7D88"/>
    <w:rsid w:val="001D03C3"/>
    <w:rsid w:val="001D71CE"/>
    <w:rsid w:val="001E1993"/>
    <w:rsid w:val="001E6046"/>
    <w:rsid w:val="001E60B8"/>
    <w:rsid w:val="001F0C45"/>
    <w:rsid w:val="00205B4E"/>
    <w:rsid w:val="00213AC4"/>
    <w:rsid w:val="0023117C"/>
    <w:rsid w:val="002476FB"/>
    <w:rsid w:val="002533F8"/>
    <w:rsid w:val="00275A7E"/>
    <w:rsid w:val="00287BBC"/>
    <w:rsid w:val="002A72CC"/>
    <w:rsid w:val="002B3A9C"/>
    <w:rsid w:val="002C24C2"/>
    <w:rsid w:val="002C6CA7"/>
    <w:rsid w:val="002D0BB6"/>
    <w:rsid w:val="002D7017"/>
    <w:rsid w:val="002E7F9F"/>
    <w:rsid w:val="002F088E"/>
    <w:rsid w:val="002F5C21"/>
    <w:rsid w:val="00305D06"/>
    <w:rsid w:val="00312A84"/>
    <w:rsid w:val="003244C2"/>
    <w:rsid w:val="003272E9"/>
    <w:rsid w:val="00341CA6"/>
    <w:rsid w:val="00342829"/>
    <w:rsid w:val="00346BB5"/>
    <w:rsid w:val="00371645"/>
    <w:rsid w:val="003779E5"/>
    <w:rsid w:val="003827BD"/>
    <w:rsid w:val="003833AE"/>
    <w:rsid w:val="0039142E"/>
    <w:rsid w:val="00395DA4"/>
    <w:rsid w:val="003A0BC6"/>
    <w:rsid w:val="003A6982"/>
    <w:rsid w:val="003B3318"/>
    <w:rsid w:val="003B5D01"/>
    <w:rsid w:val="003D247F"/>
    <w:rsid w:val="003E44EF"/>
    <w:rsid w:val="003E46CB"/>
    <w:rsid w:val="003E70D0"/>
    <w:rsid w:val="003F12B3"/>
    <w:rsid w:val="003F2C26"/>
    <w:rsid w:val="003F7EC5"/>
    <w:rsid w:val="00410CD6"/>
    <w:rsid w:val="00412A52"/>
    <w:rsid w:val="00420541"/>
    <w:rsid w:val="00423FB3"/>
    <w:rsid w:val="00432E7F"/>
    <w:rsid w:val="00434F4B"/>
    <w:rsid w:val="00440945"/>
    <w:rsid w:val="00444734"/>
    <w:rsid w:val="00447D12"/>
    <w:rsid w:val="0045279A"/>
    <w:rsid w:val="00456405"/>
    <w:rsid w:val="004617BE"/>
    <w:rsid w:val="00465672"/>
    <w:rsid w:val="00465AC7"/>
    <w:rsid w:val="00476925"/>
    <w:rsid w:val="00480FA7"/>
    <w:rsid w:val="00482050"/>
    <w:rsid w:val="00483A09"/>
    <w:rsid w:val="00490B47"/>
    <w:rsid w:val="00492880"/>
    <w:rsid w:val="004A2A30"/>
    <w:rsid w:val="004A59A8"/>
    <w:rsid w:val="004B68D9"/>
    <w:rsid w:val="004B7650"/>
    <w:rsid w:val="004C04EC"/>
    <w:rsid w:val="004D22D5"/>
    <w:rsid w:val="004D3F3A"/>
    <w:rsid w:val="004D7A74"/>
    <w:rsid w:val="004E1F65"/>
    <w:rsid w:val="004F3621"/>
    <w:rsid w:val="004F7870"/>
    <w:rsid w:val="00501FCC"/>
    <w:rsid w:val="005032CC"/>
    <w:rsid w:val="005259F5"/>
    <w:rsid w:val="00531219"/>
    <w:rsid w:val="00534E1F"/>
    <w:rsid w:val="005522DC"/>
    <w:rsid w:val="00552876"/>
    <w:rsid w:val="005531E0"/>
    <w:rsid w:val="005573FE"/>
    <w:rsid w:val="0056017A"/>
    <w:rsid w:val="0056294D"/>
    <w:rsid w:val="00565203"/>
    <w:rsid w:val="00571A59"/>
    <w:rsid w:val="005773B3"/>
    <w:rsid w:val="0058403F"/>
    <w:rsid w:val="00584046"/>
    <w:rsid w:val="005875C9"/>
    <w:rsid w:val="005A5051"/>
    <w:rsid w:val="005B0002"/>
    <w:rsid w:val="005B1B66"/>
    <w:rsid w:val="005B3B6D"/>
    <w:rsid w:val="005B64C0"/>
    <w:rsid w:val="005B7299"/>
    <w:rsid w:val="005C246B"/>
    <w:rsid w:val="005D24A1"/>
    <w:rsid w:val="00616AFA"/>
    <w:rsid w:val="006253C0"/>
    <w:rsid w:val="00631AEB"/>
    <w:rsid w:val="00661FB1"/>
    <w:rsid w:val="006736F4"/>
    <w:rsid w:val="00676389"/>
    <w:rsid w:val="0068540B"/>
    <w:rsid w:val="00697590"/>
    <w:rsid w:val="00697804"/>
    <w:rsid w:val="006A2E60"/>
    <w:rsid w:val="006A3380"/>
    <w:rsid w:val="006B3FD8"/>
    <w:rsid w:val="006D2E6E"/>
    <w:rsid w:val="006E3AAA"/>
    <w:rsid w:val="006E4D31"/>
    <w:rsid w:val="006F48A3"/>
    <w:rsid w:val="006F5182"/>
    <w:rsid w:val="00701DAF"/>
    <w:rsid w:val="00715CCF"/>
    <w:rsid w:val="00715DB3"/>
    <w:rsid w:val="00723F00"/>
    <w:rsid w:val="0072791D"/>
    <w:rsid w:val="0073209C"/>
    <w:rsid w:val="00734F08"/>
    <w:rsid w:val="007424B6"/>
    <w:rsid w:val="00751DBF"/>
    <w:rsid w:val="00764279"/>
    <w:rsid w:val="00770F42"/>
    <w:rsid w:val="00775E30"/>
    <w:rsid w:val="00791CF4"/>
    <w:rsid w:val="007932EC"/>
    <w:rsid w:val="0079609D"/>
    <w:rsid w:val="007971D4"/>
    <w:rsid w:val="007A560A"/>
    <w:rsid w:val="007C3E86"/>
    <w:rsid w:val="007D19A0"/>
    <w:rsid w:val="007D28F2"/>
    <w:rsid w:val="007D43C1"/>
    <w:rsid w:val="007D4CF6"/>
    <w:rsid w:val="007F4D0D"/>
    <w:rsid w:val="007F6051"/>
    <w:rsid w:val="008015B7"/>
    <w:rsid w:val="0080466E"/>
    <w:rsid w:val="0081058D"/>
    <w:rsid w:val="00814F33"/>
    <w:rsid w:val="00836F89"/>
    <w:rsid w:val="00856A1D"/>
    <w:rsid w:val="00864387"/>
    <w:rsid w:val="008679AD"/>
    <w:rsid w:val="00870A6A"/>
    <w:rsid w:val="008759C0"/>
    <w:rsid w:val="00895664"/>
    <w:rsid w:val="008A7FDE"/>
    <w:rsid w:val="008B0AC0"/>
    <w:rsid w:val="008C03EC"/>
    <w:rsid w:val="008C1384"/>
    <w:rsid w:val="008D0122"/>
    <w:rsid w:val="008E0731"/>
    <w:rsid w:val="008F10CC"/>
    <w:rsid w:val="009077FA"/>
    <w:rsid w:val="00910572"/>
    <w:rsid w:val="00923BC2"/>
    <w:rsid w:val="009426BC"/>
    <w:rsid w:val="00945968"/>
    <w:rsid w:val="00947E57"/>
    <w:rsid w:val="00950F74"/>
    <w:rsid w:val="00955DB5"/>
    <w:rsid w:val="00961FDA"/>
    <w:rsid w:val="00981876"/>
    <w:rsid w:val="00982FE3"/>
    <w:rsid w:val="00983089"/>
    <w:rsid w:val="00986744"/>
    <w:rsid w:val="00986FD7"/>
    <w:rsid w:val="00994527"/>
    <w:rsid w:val="009977C3"/>
    <w:rsid w:val="009A290B"/>
    <w:rsid w:val="009A4016"/>
    <w:rsid w:val="009C0B9F"/>
    <w:rsid w:val="009C31CD"/>
    <w:rsid w:val="009D45B0"/>
    <w:rsid w:val="009D5DEF"/>
    <w:rsid w:val="009E0EBB"/>
    <w:rsid w:val="009E1A17"/>
    <w:rsid w:val="009F19D8"/>
    <w:rsid w:val="009F7C10"/>
    <w:rsid w:val="00A034FA"/>
    <w:rsid w:val="00A0567C"/>
    <w:rsid w:val="00A121A7"/>
    <w:rsid w:val="00A161CD"/>
    <w:rsid w:val="00A31791"/>
    <w:rsid w:val="00A35943"/>
    <w:rsid w:val="00A35D5C"/>
    <w:rsid w:val="00A373B6"/>
    <w:rsid w:val="00A52090"/>
    <w:rsid w:val="00A566C7"/>
    <w:rsid w:val="00A639FB"/>
    <w:rsid w:val="00A70455"/>
    <w:rsid w:val="00A76B1A"/>
    <w:rsid w:val="00A84ED5"/>
    <w:rsid w:val="00A856C8"/>
    <w:rsid w:val="00A97756"/>
    <w:rsid w:val="00AA22CC"/>
    <w:rsid w:val="00AB1366"/>
    <w:rsid w:val="00AB1AE3"/>
    <w:rsid w:val="00AB4E99"/>
    <w:rsid w:val="00AB5863"/>
    <w:rsid w:val="00AB66A1"/>
    <w:rsid w:val="00AC324E"/>
    <w:rsid w:val="00AC5DF3"/>
    <w:rsid w:val="00AC7487"/>
    <w:rsid w:val="00AD1141"/>
    <w:rsid w:val="00AE0285"/>
    <w:rsid w:val="00AE0768"/>
    <w:rsid w:val="00AE0D6A"/>
    <w:rsid w:val="00AF7F9D"/>
    <w:rsid w:val="00B0520B"/>
    <w:rsid w:val="00B10CA1"/>
    <w:rsid w:val="00B237D1"/>
    <w:rsid w:val="00B3777F"/>
    <w:rsid w:val="00B42749"/>
    <w:rsid w:val="00B61C2F"/>
    <w:rsid w:val="00B73A44"/>
    <w:rsid w:val="00B77DF0"/>
    <w:rsid w:val="00B857EB"/>
    <w:rsid w:val="00BA4CD0"/>
    <w:rsid w:val="00BB52FA"/>
    <w:rsid w:val="00BB55F5"/>
    <w:rsid w:val="00BB74D6"/>
    <w:rsid w:val="00BD2061"/>
    <w:rsid w:val="00BE0209"/>
    <w:rsid w:val="00BE44FB"/>
    <w:rsid w:val="00C0466C"/>
    <w:rsid w:val="00C26B07"/>
    <w:rsid w:val="00C31024"/>
    <w:rsid w:val="00C31E97"/>
    <w:rsid w:val="00C41F50"/>
    <w:rsid w:val="00C46FC0"/>
    <w:rsid w:val="00C60CD2"/>
    <w:rsid w:val="00C975E5"/>
    <w:rsid w:val="00CA5A1F"/>
    <w:rsid w:val="00CA7ADD"/>
    <w:rsid w:val="00CB70A0"/>
    <w:rsid w:val="00CC14D8"/>
    <w:rsid w:val="00CC7BB7"/>
    <w:rsid w:val="00CD6F53"/>
    <w:rsid w:val="00CE10D4"/>
    <w:rsid w:val="00CE31A0"/>
    <w:rsid w:val="00CF573E"/>
    <w:rsid w:val="00D04CEB"/>
    <w:rsid w:val="00D05967"/>
    <w:rsid w:val="00D16C6E"/>
    <w:rsid w:val="00D1778C"/>
    <w:rsid w:val="00D20D71"/>
    <w:rsid w:val="00D21897"/>
    <w:rsid w:val="00D27232"/>
    <w:rsid w:val="00D35D5A"/>
    <w:rsid w:val="00D4243A"/>
    <w:rsid w:val="00D433EC"/>
    <w:rsid w:val="00D53536"/>
    <w:rsid w:val="00D64229"/>
    <w:rsid w:val="00D644E8"/>
    <w:rsid w:val="00D70C9D"/>
    <w:rsid w:val="00D72A3E"/>
    <w:rsid w:val="00D803CA"/>
    <w:rsid w:val="00D8697D"/>
    <w:rsid w:val="00D91B9F"/>
    <w:rsid w:val="00D93BE5"/>
    <w:rsid w:val="00DB1512"/>
    <w:rsid w:val="00DB29CC"/>
    <w:rsid w:val="00DB6919"/>
    <w:rsid w:val="00DC73F5"/>
    <w:rsid w:val="00DE6213"/>
    <w:rsid w:val="00DF068F"/>
    <w:rsid w:val="00DF0AF9"/>
    <w:rsid w:val="00E014E8"/>
    <w:rsid w:val="00E01D67"/>
    <w:rsid w:val="00E03016"/>
    <w:rsid w:val="00E03834"/>
    <w:rsid w:val="00E263CC"/>
    <w:rsid w:val="00E3705E"/>
    <w:rsid w:val="00E37FC8"/>
    <w:rsid w:val="00E55CCE"/>
    <w:rsid w:val="00E636A9"/>
    <w:rsid w:val="00E70425"/>
    <w:rsid w:val="00E85451"/>
    <w:rsid w:val="00E97D51"/>
    <w:rsid w:val="00EA5BEF"/>
    <w:rsid w:val="00EC0857"/>
    <w:rsid w:val="00EC3C27"/>
    <w:rsid w:val="00EC485A"/>
    <w:rsid w:val="00EC5B9D"/>
    <w:rsid w:val="00ED6296"/>
    <w:rsid w:val="00ED66D4"/>
    <w:rsid w:val="00ED7F10"/>
    <w:rsid w:val="00EF4273"/>
    <w:rsid w:val="00EF5A9F"/>
    <w:rsid w:val="00F027D4"/>
    <w:rsid w:val="00F045BB"/>
    <w:rsid w:val="00F176EA"/>
    <w:rsid w:val="00F372F9"/>
    <w:rsid w:val="00F37C6B"/>
    <w:rsid w:val="00F40CE7"/>
    <w:rsid w:val="00F456C0"/>
    <w:rsid w:val="00F4578B"/>
    <w:rsid w:val="00F46097"/>
    <w:rsid w:val="00F54F82"/>
    <w:rsid w:val="00F63925"/>
    <w:rsid w:val="00F6442A"/>
    <w:rsid w:val="00F70C1A"/>
    <w:rsid w:val="00F80DD3"/>
    <w:rsid w:val="00F8155E"/>
    <w:rsid w:val="00F86228"/>
    <w:rsid w:val="00F903E9"/>
    <w:rsid w:val="00F96621"/>
    <w:rsid w:val="00FA159A"/>
    <w:rsid w:val="00FA3583"/>
    <w:rsid w:val="00FA4E2D"/>
    <w:rsid w:val="00FA5798"/>
    <w:rsid w:val="00FB00B2"/>
    <w:rsid w:val="00FD1776"/>
    <w:rsid w:val="00FD6647"/>
    <w:rsid w:val="00FD6805"/>
    <w:rsid w:val="00FE48DB"/>
    <w:rsid w:val="00FE5E2F"/>
    <w:rsid w:val="00FF0833"/>
    <w:rsid w:val="00FF2BA9"/>
    <w:rsid w:val="18E30F1C"/>
    <w:rsid w:val="2D355E3C"/>
    <w:rsid w:val="2ED94EEA"/>
    <w:rsid w:val="451C6655"/>
    <w:rsid w:val="5334431C"/>
    <w:rsid w:val="543C16DA"/>
    <w:rsid w:val="565865B0"/>
    <w:rsid w:val="6806039A"/>
    <w:rsid w:val="6D7E360C"/>
    <w:rsid w:val="700E2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nhideWhenUsed="0" w:uiPriority="99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2"/>
    <w:semiHidden/>
    <w:unhideWhenUsed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 w:cs="Times New Roman"/>
      <w:b/>
      <w:sz w:val="32"/>
      <w:szCs w:val="24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qFormat/>
    <w:uiPriority w:val="99"/>
    <w:pPr>
      <w:spacing w:line="360" w:lineRule="auto"/>
      <w:jc w:val="center"/>
    </w:pPr>
    <w:rPr>
      <w:rFonts w:ascii="等线 Light" w:hAnsi="等线 Light"/>
      <w:b/>
      <w:szCs w:val="20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标题 2 字符"/>
    <w:basedOn w:val="8"/>
    <w:link w:val="2"/>
    <w:semiHidden/>
    <w:qFormat/>
    <w:uiPriority w:val="0"/>
    <w:rPr>
      <w:rFonts w:ascii="Arial" w:hAnsi="Arial" w:eastAsia="黑体" w:cs="Times New Roman"/>
      <w:b/>
      <w:sz w:val="32"/>
      <w:szCs w:val="24"/>
    </w:rPr>
  </w:style>
  <w:style w:type="character" w:customStyle="1" w:styleId="13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4">
    <w:name w:val="fontstyle01"/>
    <w:basedOn w:val="8"/>
    <w:qFormat/>
    <w:uiPriority w:val="0"/>
    <w:rPr>
      <w:rFonts w:hint="eastAsia" w:ascii="楷体" w:hAnsi="楷体" w:eastAsia="楷体"/>
      <w:color w:val="000000"/>
      <w:sz w:val="30"/>
      <w:szCs w:val="30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4084</Words>
  <Characters>4217</Characters>
  <Lines>31</Lines>
  <Paragraphs>8</Paragraphs>
  <TotalTime>183</TotalTime>
  <ScaleCrop>false</ScaleCrop>
  <LinksUpToDate>false</LinksUpToDate>
  <CharactersWithSpaces>4218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2024-11-21T06:57:00Z</dcterms:created>
  <dc:creator>hp</dc:creator>
  <cp:lastModifiedBy>长青树</cp:lastModifiedBy>
  <dcterms:modified xsi:type="dcterms:W3CDTF">2025-12-01T03:06:07Z</dcterms:modified>
  <cp:revision>495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eyJoZGlkIjoiMWQxODEyYWYzYjZiZGVlZTZjOWY1ZTEzMGU2MDFjNmYiLCJ1c2VySWQiOiI0NTI5NDQwNjQifQ==</vt:lpwstr>
  </property>
  <property fmtid="{D5CDD505-2E9C-101B-9397-08002B2CF9AE}" pid="3" name="KSOProductBuildVer">
    <vt:lpwstr>2052-12.1.0.19302</vt:lpwstr>
  </property>
  <property fmtid="{D5CDD505-2E9C-101B-9397-08002B2CF9AE}" pid="4" name="ICV">
    <vt:lpwstr>CCB7F65200274564AB8F1D1832B73AB4_12</vt:lpwstr>
  </property>
</Properties>
</file>